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color w:val="000000"/>
          <w:sz w:val="22"/>
          <w:szCs w:val="22"/>
        </w:rPr>
        <w:t>TERMO DE REFERÊNCIA – LEI 14.133/21</w:t>
      </w:r>
    </w:p>
    <w:p>
      <w:pPr>
        <w:pStyle w:val="Normal"/>
        <w:spacing w:lineRule="auto" w:line="360"/>
        <w:jc w:val="center"/>
        <w:rPr>
          <w:rFonts w:ascii="Arial" w:hAnsi="Arial"/>
          <w:b/>
          <w:bCs/>
          <w:iCs/>
          <w:color w:val="000000"/>
          <w:sz w:val="22"/>
          <w:szCs w:val="22"/>
        </w:rPr>
      </w:pPr>
      <w:r>
        <w:rPr>
          <w:rFonts w:ascii="Arial" w:hAnsi="Arial"/>
          <w:b/>
          <w:bCs/>
          <w:iCs/>
          <w:color w:val="000000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iCs/>
          <w:color w:val="000000"/>
          <w:sz w:val="22"/>
          <w:szCs w:val="22"/>
        </w:rPr>
        <w:t xml:space="preserve">AQUISIÇÃO DE GAS LIQUEFEITO DE PETRÓLEO, (GLP) </w:t>
      </w:r>
    </w:p>
    <w:p>
      <w:pPr>
        <w:pStyle w:val="Normal"/>
        <w:spacing w:lineRule="auto" w:line="36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/>
          <w:iCs/>
          <w:color w:val="000000"/>
          <w:sz w:val="22"/>
          <w:szCs w:val="22"/>
        </w:rPr>
        <w:t xml:space="preserve">Processo Administrativo nº </w:t>
      </w:r>
      <w:r>
        <w:rPr>
          <w:rFonts w:eastAsia="Times New Roman" w:cs="Times New Roman" w:ascii="Arial" w:hAnsi="Arial"/>
          <w:b/>
          <w:bCs/>
          <w:i/>
          <w:iCs/>
          <w:color w:val="000000"/>
          <w:sz w:val="22"/>
          <w:szCs w:val="22"/>
        </w:rPr>
        <w:t>0008085</w:t>
      </w:r>
      <w:r>
        <w:rPr>
          <w:rFonts w:cs="Arial" w:ascii="Arial" w:hAnsi="Arial"/>
          <w:b/>
          <w:bCs/>
          <w:i/>
          <w:iCs/>
          <w:color w:val="000000"/>
          <w:sz w:val="22"/>
          <w:szCs w:val="22"/>
        </w:rPr>
        <w:t>/2024 de 08 de novembro de 2024 (Secretaria Municipal de Administração)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Cs/>
          <w:i/>
          <w:i/>
          <w:color w:val="000000"/>
          <w:sz w:val="22"/>
          <w:szCs w:val="22"/>
        </w:rPr>
      </w:pPr>
      <w:r>
        <w:rPr>
          <w:rFonts w:cs="Arial" w:ascii="Arial" w:hAnsi="Arial"/>
          <w:b/>
          <w:bCs/>
          <w:i/>
          <w:color w:val="000000"/>
          <w:sz w:val="22"/>
          <w:szCs w:val="22"/>
        </w:rPr>
      </w:r>
    </w:p>
    <w:p>
      <w:pPr>
        <w:pStyle w:val="Nivel1"/>
        <w:keepNext w:val="true"/>
        <w:keepLines/>
        <w:widowControl/>
        <w:numPr>
          <w:ilvl w:val="0"/>
          <w:numId w:val="0"/>
        </w:numPr>
        <w:suppressAutoHyphens w:val="false"/>
        <w:bidi w:val="0"/>
        <w:spacing w:lineRule="auto" w:line="360" w:before="0" w:after="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1. DAS CONDIÇÕES GERAIS DA </w:t>
      </w:r>
      <w:r>
        <w:rPr>
          <w:rFonts w:eastAsia="" w:cs="Times New Roman"/>
          <w:b/>
          <w:bCs/>
          <w:color w:val="000000"/>
          <w:kern w:val="0"/>
          <w:sz w:val="22"/>
          <w:szCs w:val="22"/>
          <w:lang w:val="pt-BR" w:eastAsia="en-US" w:bidi="ar-SA"/>
        </w:rPr>
        <w:t>AQUISIÇÃO</w:t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bidi w:val="0"/>
        <w:spacing w:lineRule="auto" w:line="360" w:before="0" w:after="0"/>
        <w:ind w:hanging="0" w:left="0" w:right="0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iCs/>
          <w:sz w:val="22"/>
          <w:szCs w:val="22"/>
        </w:rPr>
        <w:t xml:space="preserve">1.1 Aquisição por meio de </w:t>
      </w:r>
      <w:r>
        <w:rPr>
          <w:rFonts w:eastAsia="Times New Roman" w:cs="Times New Roman" w:ascii="Arial" w:hAnsi="Arial"/>
          <w:b w:val="false"/>
          <w:bCs w:val="false"/>
          <w:iCs/>
          <w:sz w:val="22"/>
          <w:szCs w:val="22"/>
          <w:lang w:eastAsia="pt-BR"/>
        </w:rPr>
        <w:t>licitação</w:t>
      </w:r>
      <w:r>
        <w:rPr>
          <w:rFonts w:ascii="Arial" w:hAnsi="Arial"/>
          <w:b w:val="false"/>
          <w:bCs w:val="false"/>
          <w:iCs/>
          <w:sz w:val="22"/>
          <w:szCs w:val="22"/>
        </w:rPr>
        <w:t xml:space="preserve"> de gás liquefeito de petróleo (GLP), para uso nas Unidades Administrativas (copa e cozinha) desta Prefeitura Municipal de São Gabriel da Palha, creches e escolas por um período de 12 (doze) meses.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bidi w:val="0"/>
        <w:spacing w:lineRule="auto" w:line="240" w:before="0" w:after="0"/>
        <w:ind w:hanging="0" w:left="0" w:right="0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uppressAutoHyphens w:val="false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PLANILHA ESTIMADA DA CONTRAÇÃO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 w:cs="Arial"/>
          <w:sz w:val="22"/>
          <w:szCs w:val="22"/>
          <w:highlight w:val="yellow"/>
        </w:rPr>
      </w:pPr>
      <w:r>
        <w:rPr>
          <w:rFonts w:cs="Arial" w:ascii="Arial" w:hAnsi="Arial"/>
          <w:sz w:val="22"/>
          <w:szCs w:val="22"/>
          <w:highlight w:val="yellow"/>
        </w:rPr>
      </w:r>
    </w:p>
    <w:tbl>
      <w:tblPr>
        <w:tblW w:w="9183" w:type="dxa"/>
        <w:jc w:val="left"/>
        <w:tblInd w:w="1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88"/>
        <w:gridCol w:w="3394"/>
        <w:gridCol w:w="900"/>
        <w:gridCol w:w="967"/>
        <w:gridCol w:w="1535"/>
        <w:gridCol w:w="1698"/>
      </w:tblGrid>
      <w:tr>
        <w:trPr/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Unid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Qtde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V. Unid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V. total</w:t>
            </w:r>
          </w:p>
        </w:tc>
      </w:tr>
      <w:tr>
        <w:trPr/>
        <w:tc>
          <w:tcPr>
            <w:tcW w:w="68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cs="Times New Roman" w:ascii="Arial" w:hAnsi="Arial"/>
                <w:color w:val="auto"/>
                <w:kern w:val="0"/>
                <w:sz w:val="22"/>
                <w:szCs w:val="22"/>
                <w:lang w:val="pt-BR" w:eastAsia="zh-CN" w:bidi="ar-SA"/>
              </w:rPr>
              <w:t>01</w:t>
            </w:r>
          </w:p>
        </w:tc>
        <w:tc>
          <w:tcPr>
            <w:tcW w:w="33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Gás Liquefeito de Petróleo (GLP) 13 KG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Un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1.184</w:t>
            </w:r>
          </w:p>
        </w:tc>
        <w:tc>
          <w:tcPr>
            <w:tcW w:w="153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R$ 115,00</w:t>
            </w:r>
          </w:p>
        </w:tc>
        <w:tc>
          <w:tcPr>
            <w:tcW w:w="16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R$ 136.160,00</w:t>
            </w:r>
          </w:p>
        </w:tc>
      </w:tr>
      <w:tr>
        <w:trPr/>
        <w:tc>
          <w:tcPr>
            <w:tcW w:w="68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02</w:t>
            </w:r>
          </w:p>
        </w:tc>
        <w:tc>
          <w:tcPr>
            <w:tcW w:w="33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Gás Liquefeito de Petróleo (GLP) P-45 KG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Un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560</w:t>
            </w:r>
          </w:p>
        </w:tc>
        <w:tc>
          <w:tcPr>
            <w:tcW w:w="153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R$ 450,00</w:t>
            </w:r>
          </w:p>
        </w:tc>
        <w:tc>
          <w:tcPr>
            <w:tcW w:w="16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R$ 252.000,00</w:t>
            </w:r>
          </w:p>
        </w:tc>
      </w:tr>
      <w:tr>
        <w:trPr/>
        <w:tc>
          <w:tcPr>
            <w:tcW w:w="68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03</w:t>
            </w:r>
          </w:p>
        </w:tc>
        <w:tc>
          <w:tcPr>
            <w:tcW w:w="33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Gás Liquefeito De Petróleo (Glp) 13 KG Com Cilindro Incluso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Un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35</w:t>
            </w:r>
          </w:p>
        </w:tc>
        <w:tc>
          <w:tcPr>
            <w:tcW w:w="153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R$ 335,00</w:t>
            </w:r>
          </w:p>
        </w:tc>
        <w:tc>
          <w:tcPr>
            <w:tcW w:w="16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R$ 11.725,00</w:t>
            </w:r>
          </w:p>
        </w:tc>
      </w:tr>
      <w:tr>
        <w:trPr/>
        <w:tc>
          <w:tcPr>
            <w:tcW w:w="68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04</w:t>
            </w:r>
          </w:p>
        </w:tc>
        <w:tc>
          <w:tcPr>
            <w:tcW w:w="33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2"/>
                <w:szCs w:val="22"/>
              </w:rPr>
            </w:pPr>
            <w:bookmarkStart w:id="0" w:name="__DdeLink__2238_933053809"/>
            <w:r>
              <w:rPr>
                <w:rFonts w:cs="Arial" w:ascii="Arial" w:hAnsi="Arial"/>
                <w:sz w:val="22"/>
                <w:szCs w:val="22"/>
              </w:rPr>
              <w:t>Gás Liquefeito De Petróleo (Glp) P-45 KG Com Cilindro Inclus</w:t>
            </w:r>
            <w:bookmarkEnd w:id="0"/>
            <w:r>
              <w:rPr>
                <w:rFonts w:cs="Arial" w:ascii="Arial" w:hAnsi="Arial"/>
                <w:sz w:val="22"/>
                <w:szCs w:val="22"/>
              </w:rPr>
              <w:t>o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Un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</w:t>
            </w:r>
          </w:p>
        </w:tc>
        <w:tc>
          <w:tcPr>
            <w:tcW w:w="153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R$ 1.450,00</w:t>
            </w:r>
          </w:p>
        </w:tc>
        <w:tc>
          <w:tcPr>
            <w:tcW w:w="16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R$ 14.500,00</w:t>
            </w:r>
          </w:p>
        </w:tc>
      </w:tr>
      <w:tr>
        <w:trPr/>
        <w:tc>
          <w:tcPr>
            <w:tcW w:w="9182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VALOR TOTAL ESTIMADO: R$ 414.385,00 (quatrocentos e quatorze mil trezentos e oitenta e cinco reais)</w:t>
            </w:r>
          </w:p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uppressAutoHyphens w:val="false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uppressAutoHyphens w:val="false"/>
        <w:spacing w:lineRule="auto" w:line="360"/>
        <w:ind w:hanging="0" w:left="-22" w:right="0"/>
        <w:jc w:val="both"/>
        <w:rPr>
          <w:rFonts w:ascii="Arial" w:hAnsi="Arial"/>
          <w:sz w:val="22"/>
          <w:szCs w:val="22"/>
        </w:rPr>
      </w:pPr>
      <w:bookmarkStart w:id="1" w:name="page66R_mcid0"/>
      <w:bookmarkEnd w:id="1"/>
      <w:r>
        <w:rPr>
          <w:rFonts w:ascii="Arial" w:hAnsi="Arial"/>
          <w:b w:val="false"/>
          <w:bCs w:val="false"/>
          <w:iCs/>
          <w:sz w:val="22"/>
          <w:szCs w:val="22"/>
          <w:u w:val="none"/>
        </w:rPr>
        <w:t>1.2. Os produtos deverão, obrigatoriamente, atender as exigências de qualidade, observados os padrões e normas baixadas pelos órgãos competentes de controle e fiscalização de qualidade industrial em especial ANP ( agência Nacional de Petróleo).</w:t>
      </w:r>
    </w:p>
    <w:p>
      <w:pPr>
        <w:pStyle w:val="ListParagraph"/>
        <w:suppressAutoHyphens w:val="false"/>
        <w:spacing w:lineRule="auto" w:line="360"/>
        <w:ind w:hanging="0" w:left="-22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iCs/>
          <w:sz w:val="22"/>
          <w:szCs w:val="22"/>
          <w:u w:val="none"/>
        </w:rPr>
        <w:t xml:space="preserve">1.3. </w:t>
      </w:r>
      <w:r>
        <w:rPr>
          <w:rFonts w:cs="Arial" w:ascii="Arial" w:hAnsi="Arial"/>
          <w:b w:val="false"/>
          <w:bCs w:val="false"/>
          <w:iCs/>
          <w:color w:val="000000"/>
          <w:sz w:val="22"/>
          <w:szCs w:val="22"/>
          <w:u w:val="none"/>
        </w:rPr>
        <w:t xml:space="preserve">O prazo de vigência da </w:t>
      </w:r>
      <w:r>
        <w:rPr>
          <w:rFonts w:eastAsia="Times New Roman" w:cs="Arial" w:ascii="Arial" w:hAnsi="Arial"/>
          <w:b w:val="false"/>
          <w:bCs w:val="false"/>
          <w:iCs/>
          <w:color w:val="000000"/>
          <w:kern w:val="0"/>
          <w:sz w:val="22"/>
          <w:szCs w:val="22"/>
          <w:u w:val="none"/>
          <w:lang w:val="pt-BR" w:eastAsia="pt-BR" w:bidi="ar-SA"/>
        </w:rPr>
        <w:t>aquisição</w:t>
      </w:r>
      <w:r>
        <w:rPr>
          <w:rFonts w:cs="Arial" w:ascii="Arial" w:hAnsi="Arial"/>
          <w:b w:val="false"/>
          <w:bCs w:val="false"/>
          <w:iCs/>
          <w:color w:val="000000"/>
          <w:sz w:val="22"/>
          <w:szCs w:val="22"/>
          <w:u w:val="none"/>
        </w:rPr>
        <w:t xml:space="preserve"> será de 12 (doze) meses</w:t>
      </w:r>
      <w:r>
        <w:rPr>
          <w:rFonts w:cs="Arial" w:ascii="Arial" w:hAnsi="Arial"/>
          <w:b w:val="false"/>
          <w:bCs w:val="false"/>
          <w:iCs/>
          <w:color w:val="FF0000"/>
          <w:sz w:val="22"/>
          <w:szCs w:val="22"/>
          <w:u w:val="none"/>
        </w:rPr>
        <w:t xml:space="preserve"> </w:t>
      </w:r>
      <w:r>
        <w:rPr>
          <w:rFonts w:cs="Arial" w:ascii="Arial" w:hAnsi="Arial"/>
          <w:b w:val="false"/>
          <w:bCs w:val="false"/>
          <w:iCs/>
          <w:color w:val="000000"/>
          <w:sz w:val="22"/>
          <w:szCs w:val="22"/>
          <w:u w:val="none"/>
        </w:rPr>
        <w:t>contados a partir da assinatura do contrato.</w:t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bidi w:val="0"/>
        <w:spacing w:lineRule="auto" w:line="360" w:before="0" w:after="0"/>
        <w:ind w:hanging="0" w:left="0"/>
        <w:contextualSpacing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1.4. O custo estimado total da </w:t>
      </w:r>
      <w:r>
        <w:rPr>
          <w:rFonts w:eastAsia="Times New Roman" w:cs="Times New Roman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lang w:val="pt-BR" w:eastAsia="pt-BR" w:bidi="ar-SA"/>
        </w:rPr>
        <w:t>aquisição</w:t>
      </w:r>
      <w:r>
        <w:rPr>
          <w:rFonts w:eastAsia="Times New Roman" w:cs="Times New Roman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é de</w:t>
      </w:r>
      <w:r>
        <w:rPr>
          <w:rFonts w:eastAsia="Times New Roman" w:cs="Times New Roman" w:ascii="Arial" w:hAnsi="Arial"/>
          <w:b w:val="false"/>
          <w:bCs w:val="false"/>
          <w:i w:val="false"/>
          <w:iCs w:val="false"/>
          <w:color w:val="FF0000"/>
          <w:sz w:val="22"/>
          <w:szCs w:val="22"/>
        </w:rPr>
        <w:t xml:space="preserve"> </w:t>
      </w:r>
      <w:r>
        <w:rPr>
          <w:rFonts w:eastAsia="Times New Roman" w:cs="Times New Roman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R$ 414.385,00 (quatrocentos e quatorze mil trezentos e oitenta e cinco reais), para fins de classificação será cons</w:t>
      </w:r>
      <w:r>
        <w:rPr>
          <w:rFonts w:eastAsia="Times New Roman" w:cs="Times New Roman" w:ascii="Arial" w:hAnsi="Arial"/>
          <w:i/>
          <w:iCs/>
          <w:color w:val="000000"/>
          <w:sz w:val="22"/>
          <w:szCs w:val="22"/>
        </w:rPr>
        <w:t xml:space="preserve">iderado </w:t>
      </w:r>
      <w:r>
        <w:rPr>
          <w:rFonts w:eastAsia="Times New Roman" w:cs="Times New Roman" w:ascii="Arial" w:hAnsi="Arial"/>
          <w:b w:val="false"/>
          <w:bCs w:val="false"/>
          <w:i/>
          <w:iCs/>
          <w:color w:val="000000"/>
          <w:sz w:val="22"/>
          <w:szCs w:val="22"/>
        </w:rPr>
        <w:t xml:space="preserve">o menor preço </w:t>
      </w:r>
      <w:r>
        <w:rPr>
          <w:rFonts w:eastAsia="Times New Roman" w:cs="Times New Roman" w:ascii="Arial" w:hAnsi="Arial"/>
          <w:b w:val="false"/>
          <w:bCs w:val="false"/>
          <w:i/>
          <w:iCs/>
          <w:color w:val="000000"/>
          <w:sz w:val="22"/>
          <w:szCs w:val="22"/>
        </w:rPr>
        <w:t xml:space="preserve">unitário </w:t>
      </w:r>
      <w:r>
        <w:rPr>
          <w:rFonts w:eastAsia="Times New Roman" w:cs="Times New Roman" w:ascii="Arial" w:hAnsi="Arial"/>
          <w:b w:val="false"/>
          <w:bCs w:val="false"/>
          <w:i/>
          <w:iCs/>
          <w:color w:val="000000"/>
          <w:sz w:val="22"/>
          <w:szCs w:val="22"/>
        </w:rPr>
        <w:t>c</w:t>
      </w:r>
      <w:r>
        <w:rPr>
          <w:rFonts w:eastAsia="Times New Roman" w:cs="Times New Roman" w:ascii="Arial" w:hAnsi="Arial"/>
          <w:b w:val="false"/>
          <w:bCs w:val="false"/>
          <w:iCs/>
          <w:color w:val="000000"/>
          <w:sz w:val="22"/>
          <w:szCs w:val="22"/>
        </w:rPr>
        <w:t>onforme custos unitários apostos nos orçamentos e nos quadros comparativos de preços simples em anexo</w:t>
      </w:r>
      <w:r>
        <w:rPr>
          <w:rFonts w:eastAsia="Times New Roman" w:cs="Times New Roman" w:ascii="Arial" w:hAnsi="Arial"/>
          <w:iCs/>
          <w:color w:val="000000"/>
          <w:sz w:val="22"/>
          <w:szCs w:val="22"/>
        </w:rPr>
        <w:t>.</w:t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bidi w:val="0"/>
        <w:spacing w:lineRule="auto" w:line="240" w:before="0" w:after="0"/>
        <w:ind w:hanging="0" w:left="0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1.5. </w:t>
      </w:r>
      <w:r>
        <w:rPr>
          <w:rFonts w:eastAsia="Times New Roman" w:cs="Times New Roman" w:ascii="Arial" w:hAnsi="Arial"/>
          <w:b/>
          <w:bCs/>
          <w:color w:val="auto"/>
          <w:kern w:val="0"/>
          <w:sz w:val="22"/>
          <w:szCs w:val="22"/>
          <w:u w:val="none"/>
          <w:lang w:val="pt-BR" w:eastAsia="pt-BR" w:bidi="ar-SA"/>
        </w:rPr>
        <w:t>DISTRIBUIÇÃO DOS ITENS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2"/>
          <w:szCs w:val="22"/>
          <w:lang w:val="pt-BR" w:eastAsia="pt-BR" w:bidi="ar-SA"/>
        </w:rPr>
        <w:t>1.5.1. A distribuição da quantidade de serviços por UG  será de acordo com a planilha abaixo: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tbl>
      <w:tblPr>
        <w:tblW w:w="9517" w:type="dxa"/>
        <w:jc w:val="left"/>
        <w:tblInd w:w="-17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00"/>
        <w:gridCol w:w="3032"/>
        <w:gridCol w:w="1935"/>
        <w:gridCol w:w="1632"/>
        <w:gridCol w:w="1252"/>
        <w:gridCol w:w="965"/>
      </w:tblGrid>
      <w:tr>
        <w:trPr/>
        <w:tc>
          <w:tcPr>
            <w:tcW w:w="7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0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48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QUANTIDADE POR UG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70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</w:tc>
        <w:tc>
          <w:tcPr>
            <w:tcW w:w="3032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</w:tc>
        <w:tc>
          <w:tcPr>
            <w:tcW w:w="193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PREFEITURA</w:t>
            </w:r>
          </w:p>
        </w:tc>
        <w:tc>
          <w:tcPr>
            <w:tcW w:w="163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EDUCAÇÃO</w:t>
            </w:r>
          </w:p>
        </w:tc>
        <w:tc>
          <w:tcPr>
            <w:tcW w:w="12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SOCIAL</w:t>
            </w:r>
          </w:p>
        </w:tc>
        <w:tc>
          <w:tcPr>
            <w:tcW w:w="9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SAÚDE</w:t>
            </w:r>
          </w:p>
        </w:tc>
      </w:tr>
      <w:tr>
        <w:trPr/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cs="Times New Roman" w:ascii="Arial" w:hAnsi="Arial"/>
                <w:color w:val="auto"/>
                <w:kern w:val="0"/>
                <w:sz w:val="22"/>
                <w:szCs w:val="22"/>
                <w:lang w:val="pt-BR" w:eastAsia="zh-CN" w:bidi="ar-SA"/>
              </w:rPr>
              <w:t>01</w:t>
            </w:r>
          </w:p>
        </w:tc>
        <w:tc>
          <w:tcPr>
            <w:tcW w:w="303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Gás Liquefeito de Petróleo (GLP) 13 KG</w:t>
            </w:r>
          </w:p>
        </w:tc>
        <w:tc>
          <w:tcPr>
            <w:tcW w:w="193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45</w:t>
            </w:r>
          </w:p>
        </w:tc>
        <w:tc>
          <w:tcPr>
            <w:tcW w:w="163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960</w:t>
            </w:r>
          </w:p>
        </w:tc>
        <w:tc>
          <w:tcPr>
            <w:tcW w:w="12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84</w:t>
            </w:r>
          </w:p>
        </w:tc>
        <w:tc>
          <w:tcPr>
            <w:tcW w:w="9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95</w:t>
            </w:r>
          </w:p>
        </w:tc>
      </w:tr>
      <w:tr>
        <w:trPr/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02</w:t>
            </w:r>
          </w:p>
        </w:tc>
        <w:tc>
          <w:tcPr>
            <w:tcW w:w="303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Gás Liquefeito de Petróleo (GLP) P-45 KG</w:t>
            </w:r>
          </w:p>
        </w:tc>
        <w:tc>
          <w:tcPr>
            <w:tcW w:w="193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560</w:t>
            </w:r>
          </w:p>
        </w:tc>
        <w:tc>
          <w:tcPr>
            <w:tcW w:w="12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03</w:t>
            </w:r>
          </w:p>
        </w:tc>
        <w:tc>
          <w:tcPr>
            <w:tcW w:w="303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Gás Liquefeito De Petróleo (Glp) 13 KG Com Cilindro Incluso</w:t>
            </w:r>
          </w:p>
        </w:tc>
        <w:tc>
          <w:tcPr>
            <w:tcW w:w="193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</w:t>
            </w:r>
          </w:p>
        </w:tc>
        <w:tc>
          <w:tcPr>
            <w:tcW w:w="163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</w:p>
        </w:tc>
        <w:tc>
          <w:tcPr>
            <w:tcW w:w="12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-</w:t>
            </w:r>
          </w:p>
        </w:tc>
      </w:tr>
      <w:tr>
        <w:trPr/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04</w:t>
            </w:r>
          </w:p>
        </w:tc>
        <w:tc>
          <w:tcPr>
            <w:tcW w:w="303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2"/>
                <w:szCs w:val="22"/>
              </w:rPr>
            </w:pPr>
            <w:bookmarkStart w:id="2" w:name="__DdeLink__2238_933053809_Copia_1"/>
            <w:r>
              <w:rPr>
                <w:rFonts w:cs="Arial" w:ascii="Arial" w:hAnsi="Arial"/>
                <w:sz w:val="22"/>
                <w:szCs w:val="22"/>
              </w:rPr>
              <w:t>Gás Liquefeito De Petróleo (Glp) P-45 KG Com Cilindro Inclus</w:t>
            </w:r>
            <w:bookmarkEnd w:id="2"/>
            <w:r>
              <w:rPr>
                <w:rFonts w:cs="Arial" w:ascii="Arial" w:hAnsi="Arial"/>
                <w:sz w:val="22"/>
                <w:szCs w:val="22"/>
              </w:rPr>
              <w:t>o</w:t>
            </w:r>
          </w:p>
        </w:tc>
        <w:tc>
          <w:tcPr>
            <w:tcW w:w="193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</w:t>
            </w:r>
          </w:p>
        </w:tc>
        <w:tc>
          <w:tcPr>
            <w:tcW w:w="12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-</w:t>
            </w:r>
          </w:p>
        </w:tc>
      </w:tr>
    </w:tbl>
    <w:p>
      <w:pPr>
        <w:pStyle w:val="Nivel1"/>
        <w:spacing w:lineRule="auto" w:line="240" w:before="0" w:after="0"/>
        <w:ind w:hanging="0" w:left="0" w:right="0"/>
        <w:jc w:val="both"/>
        <w:rPr>
          <w:rFonts w:ascii="Arial" w:hAnsi="Arial" w:cs="Arial"/>
          <w:bCs/>
          <w:iCs/>
          <w:color w:themeColor="accent1" w:themeShade="bf" w:val="000000"/>
          <w:sz w:val="22"/>
          <w:szCs w:val="22"/>
        </w:rPr>
      </w:pPr>
      <w:r>
        <w:rPr>
          <w:rFonts w:cs="Arial"/>
          <w:bCs/>
          <w:iCs/>
          <w:color w:themeColor="accent1" w:themeShade="bf"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false"/>
        <w:bidi w:val="0"/>
        <w:spacing w:lineRule="auto" w:line="240" w:before="0" w:after="0"/>
        <w:ind w:hanging="567" w:left="709"/>
        <w:contextualSpacing/>
        <w:jc w:val="both"/>
        <w:rPr>
          <w:rFonts w:ascii="Arial" w:hAnsi="Arial" w:cs="Arial"/>
          <w:bCs/>
          <w:iCs/>
          <w:color w:val="000000"/>
          <w:sz w:val="22"/>
          <w:szCs w:val="22"/>
        </w:rPr>
      </w:pPr>
      <w:r>
        <w:rPr>
          <w:rFonts w:cs="Arial" w:ascii="Arial" w:hAnsi="Arial"/>
          <w:bCs/>
          <w:iCs/>
          <w:color w:val="000000"/>
          <w:sz w:val="22"/>
          <w:szCs w:val="22"/>
        </w:rPr>
      </w:r>
      <w:bookmarkStart w:id="3" w:name="art23§7"/>
      <w:bookmarkStart w:id="4" w:name="art23§7"/>
      <w:bookmarkEnd w:id="4"/>
    </w:p>
    <w:p>
      <w:pPr>
        <w:pStyle w:val="Nivel1"/>
        <w:keepNext w:val="true"/>
        <w:keepLines/>
        <w:widowControl/>
        <w:numPr>
          <w:ilvl w:val="0"/>
          <w:numId w:val="0"/>
        </w:numPr>
        <w:suppressAutoHyphens w:val="false"/>
        <w:bidi w:val="0"/>
        <w:spacing w:lineRule="auto" w:line="360" w:before="0" w:after="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2. FUNDAMENTAÇÃO E DESCRIÇÃO DA NECESSIDADE DA </w:t>
      </w:r>
      <w:r>
        <w:rPr>
          <w:rFonts w:eastAsia="" w:cs="Times New Roman"/>
          <w:b/>
          <w:bCs/>
          <w:color w:val="000000"/>
          <w:kern w:val="0"/>
          <w:sz w:val="22"/>
          <w:szCs w:val="22"/>
          <w:lang w:val="pt-BR" w:eastAsia="en-US" w:bidi="ar-SA"/>
        </w:rPr>
        <w:t>AQUISIÇÃO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bCs/>
          <w:color w:val="auto"/>
          <w:sz w:val="22"/>
          <w:szCs w:val="22"/>
          <w:highlight w:val="white"/>
        </w:rPr>
        <w:t xml:space="preserve">2.1. </w:t>
      </w:r>
      <w:r>
        <w:rPr>
          <w:rFonts w:eastAsia="Arial" w:cs="Arial" w:ascii="Arial" w:hAnsi="Arial"/>
          <w:b w:val="false"/>
          <w:bCs w:val="false"/>
          <w:color w:val="auto"/>
          <w:sz w:val="22"/>
          <w:szCs w:val="22"/>
          <w:highlight w:val="white"/>
        </w:rPr>
        <w:t>A contratação de empresa para o fornecimento de Gás Liquefeito de Petróleo - GLP, torna-se necessária para atender às solicitações de diversas Unidades Administrativas da Prefeitura Municipal de São Gabriel da Palha, que demandará da utilização de Gás Liquefeito de Petróleo – GLP em copa e cozinha de suas Unidades/Departamentos, Creches e Escolas, com a finalidade de manter suas atividades, no decorrer do exercício de 2024/2025 (12 meses).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bCs/>
          <w:color w:val="auto"/>
          <w:sz w:val="22"/>
          <w:szCs w:val="22"/>
          <w:highlight w:val="white"/>
        </w:rPr>
        <w:t xml:space="preserve">2.2. </w:t>
      </w:r>
      <w:r>
        <w:rPr>
          <w:rFonts w:eastAsia="Arial" w:cs="Arial" w:ascii="Arial" w:hAnsi="Arial"/>
          <w:b w:val="false"/>
          <w:bCs w:val="false"/>
          <w:color w:val="auto"/>
          <w:sz w:val="22"/>
          <w:szCs w:val="22"/>
          <w:highlight w:val="white"/>
        </w:rPr>
        <w:t>A contratação de empresa para o fornecimento de Gás Liquefeito de Petróleo - GLP é essencial para a esta municipalidade para atender a demanda das secretarias, tais como abrigos, centros de saúde, escolas municipais, sendo assim não podemos interromper o fornecimento.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bCs/>
          <w:color w:val="auto"/>
          <w:sz w:val="22"/>
          <w:szCs w:val="22"/>
          <w:highlight w:val="white"/>
        </w:rPr>
        <w:t xml:space="preserve">2.3. </w:t>
      </w:r>
      <w:r>
        <w:rPr>
          <w:rFonts w:eastAsia="Arial" w:cs="Arial" w:ascii="Arial" w:hAnsi="Arial"/>
          <w:b w:val="false"/>
          <w:bCs w:val="false"/>
          <w:color w:val="auto"/>
          <w:sz w:val="22"/>
          <w:szCs w:val="22"/>
          <w:highlight w:val="white"/>
        </w:rPr>
        <w:t>A quantidade de gás a ser adquirida será estimada, considerando que cada Unidade/Departamento, Creche ou Escola da Prefeitura Municipal de São Gabriel da Palha será atendida de acordo com sua necessidade.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360" w:before="0" w:after="0"/>
        <w:ind w:hanging="0" w:left="0" w:right="0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2.4.</w:t>
      </w:r>
      <w:r>
        <w:rPr>
          <w:rFonts w:ascii="Arial" w:hAnsi="Arial"/>
          <w:b w:val="false"/>
          <w:bCs w:val="false"/>
          <w:sz w:val="22"/>
          <w:szCs w:val="22"/>
        </w:rPr>
        <w:t xml:space="preserve"> Diante da necessidade acima, iniciou-se o presente ETP por meio do qual será possível decidir qual é a melhor solução.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360" w:before="0" w:after="0"/>
        <w:ind w:hanging="0" w:left="0" w:right="0"/>
        <w:contextualSpacing/>
        <w:jc w:val="both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3. DESCRIÇÃO DA SOLUÇÃO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3.1.</w:t>
      </w:r>
      <w:r>
        <w:rPr>
          <w:rFonts w:cs="Arial" w:ascii="Arial" w:hAnsi="Arial"/>
          <w:sz w:val="22"/>
          <w:szCs w:val="22"/>
        </w:rPr>
        <w:t xml:space="preserve"> A solução a ser adotada consiste na aquisição dos produtos descritos, para atender as necessidades da Prefeitura Municipal de São Gabriel da Palha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3.2. </w:t>
      </w:r>
      <w:r>
        <w:rPr>
          <w:rFonts w:cs="Arial" w:ascii="Arial" w:hAnsi="Arial"/>
          <w:sz w:val="22"/>
          <w:szCs w:val="22"/>
        </w:rPr>
        <w:t>A contratação para a aquisição de produtos deverá obedecer, no que couber, ao disposto na Lei n.º 14.133/2021 e suas alterações.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3.3. Definição e justificativa de caracterização do objeto e prazos da contratação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3.3.1. </w:t>
      </w:r>
      <w:r>
        <w:rPr>
          <w:rFonts w:cs="Arial" w:ascii="Arial" w:hAnsi="Arial"/>
          <w:b w:val="false"/>
          <w:bCs w:val="false"/>
          <w:sz w:val="22"/>
          <w:szCs w:val="22"/>
        </w:rPr>
        <w:t>A contratação ora pretendida decorre do fato de que a Administração Pública enfrenta grandes dificuldades para realizar as aquisições e contratações de que necessita, principalmente quanto à realização da pesquisa de preços praticados no mercado. A estimativa de preços é um parâmetro indispensável. É a partir dela que são realizadas a verificação de disponibilidade orçamentária relativa à despesa com a contratação e o julgamento das propostas ofertadas pelas empresas (seleção da proposta mais vantajosa para a administração). Um dos caminhos para se chegar a uma estimativa de qualidade é ampliar a consulta por meio de fontes diversas que representem a realidade do mercado, tais como fornecedores, contratações semelhantes em outros órgãos públicos, atas de registro de preço, etc.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br/>
        <w:t>3</w:t>
      </w:r>
      <w:r>
        <w:rPr>
          <w:rFonts w:cs="Arial" w:ascii="Arial" w:hAnsi="Arial"/>
          <w:b/>
          <w:bCs/>
          <w:sz w:val="22"/>
          <w:szCs w:val="22"/>
        </w:rPr>
        <w:t>.4. QUALIFICAÇÃO TÉCNICA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3.4.1. </w:t>
      </w:r>
      <w:r>
        <w:rPr>
          <w:rFonts w:cs="Arial" w:ascii="Arial" w:hAnsi="Arial"/>
          <w:b w:val="false"/>
          <w:bCs w:val="false"/>
          <w:sz w:val="22"/>
          <w:szCs w:val="22"/>
        </w:rPr>
        <w:t>Autorização para o funcionamento do licitante, expedida pela ANP (“Agência Nacional de Petróleo”).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3.4.2.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 O licitante deverá apresentar </w:t>
      </w:r>
      <w:r>
        <w:rPr>
          <w:rFonts w:cs="Arial" w:ascii="Arial" w:hAnsi="Arial"/>
          <w:b/>
          <w:bCs/>
          <w:i/>
          <w:iCs/>
          <w:sz w:val="22"/>
          <w:szCs w:val="22"/>
        </w:rPr>
        <w:t>“declaração por escrito informando que a empresa se compromete a atender a Prefeitura Municipal de São Gabriel da Palha prioritariamente sempre que for convocado a providenciar alguma entrega, no decorrer do período da Contratação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”. 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4. CLASSIFICAÇÃO DOS BENS COMUNS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</w:rPr>
        <w:t>4.1 Trata-se de bens comuns a ser contratado mediante licitação.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ivel1"/>
        <w:numPr>
          <w:ilvl w:val="0"/>
          <w:numId w:val="0"/>
        </w:numPr>
        <w:spacing w:lineRule="auto" w:line="360" w:before="0" w:after="0"/>
        <w:ind w:hanging="0" w:left="0" w:right="0"/>
        <w:rPr>
          <w:rFonts w:ascii="Arial" w:hAnsi="Arial"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5. REQUISITOS DA </w:t>
      </w:r>
      <w:r>
        <w:rPr>
          <w:rFonts w:eastAsia="" w:cs="Times New Roman"/>
          <w:b/>
          <w:bCs/>
          <w:color w:val="000000"/>
          <w:kern w:val="0"/>
          <w:sz w:val="22"/>
          <w:szCs w:val="22"/>
          <w:lang w:val="pt-BR" w:eastAsia="en-US" w:bidi="ar-SA"/>
        </w:rPr>
        <w:t>AQUISIÇÃO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5.1 </w:t>
      </w:r>
      <w:r>
        <w:rPr>
          <w:rFonts w:eastAsia="Arial" w:cs="Arial" w:ascii="Arial" w:hAnsi="Arial"/>
          <w:sz w:val="22"/>
          <w:szCs w:val="22"/>
        </w:rPr>
        <w:t>Os requisitos da contratação devem contemplar as exigências que a solução contratada deverá atender, incluindo os requisitos mínimos de qualidade, de modo a possibilitar a seleção da proposta mais vantajosa mediante competição, devendo conter no  mínimo, as seguintes características:</w:t>
        <w:br/>
        <w:t>5</w:t>
      </w:r>
      <w:r>
        <w:rPr>
          <w:rFonts w:eastAsia="Arial" w:cs="Arial" w:ascii="Arial" w:hAnsi="Arial"/>
          <w:b/>
          <w:bCs/>
          <w:sz w:val="22"/>
          <w:szCs w:val="22"/>
        </w:rPr>
        <w:t xml:space="preserve">.2.1. </w:t>
      </w:r>
      <w:r>
        <w:rPr>
          <w:rFonts w:eastAsia="Arial" w:cs="Arial" w:ascii="Arial" w:hAnsi="Arial"/>
          <w:b w:val="false"/>
          <w:bCs w:val="false"/>
          <w:sz w:val="22"/>
          <w:szCs w:val="22"/>
          <w:shd w:fill="auto" w:val="clear"/>
        </w:rPr>
        <w:t>A licitante vencedora deverá fornecer o gás em seu próprio estabelecimento, na sede deste município.</w:t>
        <w:br/>
        <w:t>5</w:t>
      </w:r>
      <w:r>
        <w:rPr>
          <w:rFonts w:cs="Times New Roman" w:ascii="Arial" w:hAnsi="Arial"/>
          <w:b/>
          <w:bCs/>
          <w:color w:val="000000"/>
          <w:sz w:val="22"/>
          <w:szCs w:val="22"/>
        </w:rPr>
        <w:t>.1.2.</w:t>
      </w:r>
      <w:r>
        <w:rPr>
          <w:rFonts w:cs="Times New Roman" w:ascii="Arial" w:hAnsi="Arial"/>
          <w:b w:val="false"/>
          <w:bCs w:val="false"/>
          <w:color w:val="000000"/>
          <w:sz w:val="22"/>
          <w:szCs w:val="22"/>
        </w:rPr>
        <w:t xml:space="preserve"> A entrega dos produtos deve ser realizada conforme necessidade das Secretarias requisitantes, mediante requisição.</w:t>
      </w:r>
    </w:p>
    <w:p>
      <w:pPr>
        <w:pStyle w:val="PargrafodaLista"/>
        <w:numPr>
          <w:ilvl w:val="0"/>
          <w:numId w:val="0"/>
        </w:numPr>
        <w:spacing w:lineRule="auto" w:line="360" w:before="0" w:after="0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b/>
          <w:bCs/>
          <w:color w:val="000000"/>
          <w:sz w:val="22"/>
          <w:szCs w:val="22"/>
        </w:rPr>
        <w:t>5.1.3.</w:t>
      </w:r>
      <w:r>
        <w:rPr>
          <w:rFonts w:cs="Times New Roman" w:ascii="Arial" w:hAnsi="Arial"/>
          <w:sz w:val="22"/>
          <w:szCs w:val="22"/>
        </w:rPr>
        <w:t xml:space="preserve"> A contratada só realizará a entrega do Gás mediante assinatura da requisição em duas vias pelo servidor responsável (Fiscal do Contrato), autorizado pela Administração Municipal, especificando a marca, o peso e a quantidade, e campo para introdução do nome e assinatura. </w:t>
      </w:r>
    </w:p>
    <w:p>
      <w:pPr>
        <w:pStyle w:val="Normal"/>
        <w:spacing w:lineRule="auto" w:line="360"/>
        <w:jc w:val="both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b/>
          <w:bCs/>
          <w:color w:val="000000"/>
          <w:sz w:val="22"/>
          <w:szCs w:val="22"/>
        </w:rPr>
        <w:t>5.1.4.</w:t>
      </w:r>
      <w:r>
        <w:rPr>
          <w:rFonts w:ascii="Arial" w:hAnsi="Arial"/>
          <w:sz w:val="22"/>
          <w:szCs w:val="22"/>
        </w:rPr>
        <w:t xml:space="preserve"> Após o preenchimento da requisição e assinatura sobre o carimbo, no ato da entrega, a contratada ficará com a 1.ª via e devolverá a 2.ª via ao responsável supracitado.</w:t>
      </w:r>
    </w:p>
    <w:p>
      <w:pPr>
        <w:pStyle w:val="PargrafodaLista"/>
        <w:spacing w:lineRule="auto" w:line="360" w:before="0" w:after="0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eastAsia="Arial" w:cs="Times New Roman" w:ascii="Arial" w:hAnsi="Arial"/>
          <w:b/>
          <w:bCs/>
          <w:color w:val="000000"/>
          <w:sz w:val="22"/>
          <w:szCs w:val="22"/>
        </w:rPr>
        <w:t>5.1.5.</w:t>
      </w:r>
      <w:r>
        <w:rPr>
          <w:rFonts w:eastAsia="Arial" w:cs="Times New Roman" w:ascii="Arial" w:hAnsi="Arial"/>
          <w:b w:val="false"/>
          <w:bCs w:val="false"/>
          <w:color w:val="000000"/>
          <w:sz w:val="22"/>
          <w:szCs w:val="22"/>
        </w:rPr>
        <w:t xml:space="preserve"> O prazo de entrega do gás será imediatamente após o recebimento, por parte da proponente vencedora, da Ordem de Fornecimento expedida pelo Fiscal do Contrato, devendo a entrega ser efetuada na Secretaria requisitante.</w:t>
      </w:r>
    </w:p>
    <w:p>
      <w:pPr>
        <w:pStyle w:val="Normal"/>
        <w:widowControl/>
        <w:tabs>
          <w:tab w:val="clear" w:pos="708"/>
          <w:tab w:val="left" w:pos="133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ivel1"/>
        <w:widowControl/>
        <w:numPr>
          <w:ilvl w:val="0"/>
          <w:numId w:val="0"/>
        </w:numPr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cs="Arial"/>
          <w:b/>
          <w:i w:val="false"/>
          <w:iCs w:val="false"/>
          <w:color w:val="000000"/>
          <w:sz w:val="22"/>
          <w:szCs w:val="22"/>
        </w:rPr>
        <w:t xml:space="preserve">6. </w:t>
      </w:r>
      <w:r>
        <w:rPr>
          <w:rFonts w:cs="Arial"/>
          <w:i w:val="false"/>
          <w:iCs w:val="false"/>
          <w:color w:val="000000"/>
          <w:sz w:val="22"/>
          <w:szCs w:val="22"/>
        </w:rPr>
        <w:t>ENTREGA E CRITÉRIOS DE ACEITAÇÃO DO OBJETO.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6.1. O produto será entregue nas Unidades Administrativos da Prefeitura Municipal de São Gabriel da Palha mediante solicitação.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6.2. Contato: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Tel: 27 3727-1366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Email: </w:t>
      </w:r>
      <w:r>
        <w:rPr>
          <w:rFonts w:eastAsia="Times New Roman" w:cs="Arial" w:ascii="Arial" w:hAnsi="Arial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administracao@saogabriel.es.gov.br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Responsável: Secretaria Municipal de </w:t>
      </w:r>
      <w:r>
        <w:rPr>
          <w:rFonts w:eastAsia="Times New Roman" w:cs="Arial" w:ascii="Arial" w:hAnsi="Arial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Administração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6.3. O prazo de validade na data da entrega não poderá ser inferior à metade do prazo total re</w:t>
      </w:r>
      <w:r>
        <w:rPr>
          <w:rFonts w:cs="Arial" w:ascii="Arial" w:hAnsi="Arial"/>
          <w:i w:val="false"/>
          <w:iCs w:val="false"/>
          <w:color w:val="000000"/>
          <w:sz w:val="22"/>
          <w:szCs w:val="22"/>
        </w:rPr>
        <w:t>comendado pelo fornecedor.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6.4. Os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eastAsia="pt-BR"/>
        </w:rPr>
        <w:t>itens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poderão ser rejeitados, no todo ou em parte, quando em desacordo com as especificações constantes neste Termo de Referência e na proposta, devendo ser substituídos no prazo de 24h (vinte e quatro horas), a contar da notificação</w:t>
        <w:br/>
        <w:t>da contratada, às suas custas, sem prejuízo da aplicação das penalidades.</w:t>
      </w:r>
      <w:bookmarkStart w:id="5" w:name="page66R_mcid16"/>
      <w:bookmarkEnd w:id="5"/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br/>
        <w:t>6.6. O recebimento provisório ou definitivo do objeto não exclui a responsabilidade da cont</w:t>
      </w:r>
      <w:r>
        <w:rPr>
          <w:rFonts w:cs="Arial" w:ascii="Arial" w:hAnsi="Arial"/>
          <w:i w:val="false"/>
          <w:iCs w:val="false"/>
          <w:color w:val="000000"/>
          <w:sz w:val="22"/>
          <w:szCs w:val="22"/>
        </w:rPr>
        <w:t>ratada pelos prejuízos resultantes da incorreta execução do contrato.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right="0"/>
        <w:jc w:val="both"/>
        <w:rPr>
          <w:rFonts w:ascii="Arial" w:hAnsi="Arial" w:cs="Arial"/>
          <w:b/>
          <w:bCs/>
          <w:i w:val="false"/>
          <w:i w:val="false"/>
          <w:iCs w:val="false"/>
          <w:color w:val="000000"/>
          <w:sz w:val="22"/>
          <w:szCs w:val="22"/>
        </w:rPr>
      </w:pPr>
      <w:r>
        <w:rPr>
          <w:rFonts w:cs="Arial" w:ascii="Arial" w:hAnsi="Arial"/>
          <w:b/>
          <w:bCs/>
          <w:i w:val="false"/>
          <w:iCs w:val="false"/>
          <w:color w:val="000000"/>
          <w:sz w:val="22"/>
          <w:szCs w:val="22"/>
        </w:rPr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 w:val="false"/>
          <w:iCs w:val="false"/>
          <w:color w:val="000000"/>
          <w:sz w:val="22"/>
          <w:szCs w:val="22"/>
        </w:rPr>
        <w:t>7. OBRIGAÇÕES DA CONTRATANTE</w:t>
      </w:r>
    </w:p>
    <w:p>
      <w:pPr>
        <w:pStyle w:val="Normal"/>
        <w:widowControl/>
        <w:suppressAutoHyphens w:val="true"/>
        <w:bidi w:val="0"/>
        <w:spacing w:lineRule="auto" w:line="360" w:before="57" w:after="57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lang w:val="pt-BR" w:eastAsia="pt-BR" w:bidi="ar-SA"/>
        </w:rPr>
        <w:t>7.1.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Receber os objetos no prazo e condições estabelecidas neste Termo de Referência e seus anexos</w:t>
      </w:r>
      <w:bookmarkStart w:id="6" w:name="page68R_mcid1"/>
      <w:bookmarkEnd w:id="6"/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.</w:t>
        <w:br/>
        <w:t>7.2. 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widowControl/>
        <w:suppressAutoHyphens w:val="true"/>
        <w:bidi w:val="0"/>
        <w:spacing w:lineRule="auto" w:line="360" w:before="57" w:after="57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7.3. Comunicar à Contratada, por escrito, sobre imperfeições, falhas ou irregularidades verificadas no objeto fornecido, para que seja substituído, reparado ou corrigido.</w:t>
      </w:r>
    </w:p>
    <w:p>
      <w:pPr>
        <w:pStyle w:val="Normal"/>
        <w:widowControl/>
        <w:suppressAutoHyphens w:val="true"/>
        <w:bidi w:val="0"/>
        <w:spacing w:lineRule="auto" w:line="360" w:before="57" w:after="57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7.4. Acompanhar e fiscalizar o cumprimento das obrigações da Contratada, através de comissão/servidor especialmente designado.</w:t>
      </w:r>
    </w:p>
    <w:p>
      <w:pPr>
        <w:pStyle w:val="Normal"/>
        <w:widowControl/>
        <w:suppressAutoHyphens w:val="true"/>
        <w:bidi w:val="0"/>
        <w:spacing w:lineRule="auto" w:line="360" w:before="57" w:after="57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7.5. Efetuar o pagamento à Contratada no valor correspondente ao fornecimento dos objetos, no prazo e forma estabelecidos neste TR e seus anexos.</w:t>
      </w:r>
    </w:p>
    <w:p>
      <w:pPr>
        <w:pStyle w:val="Normal"/>
        <w:widowControl/>
        <w:suppressAutoHyphens w:val="true"/>
        <w:bidi w:val="0"/>
        <w:spacing w:lineRule="auto" w:line="360" w:before="57" w:after="57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lang w:val="pt-BR" w:eastAsia="pt-BR" w:bidi="ar-SA"/>
        </w:rPr>
        <w:t xml:space="preserve">7.6.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A Administração não responderá por quaisquer compromissos assumidos pela Contratada com terceiros, ainda que vinculados à execução da presente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lang w:val="pt-BR" w:eastAsia="pt-BR" w:bidi="ar-SA"/>
        </w:rPr>
        <w:t>Ata de Registro de Preços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, bem como por qualquer dano causado a terceiros em decorrência de ato da Contratada, de seus empregados, prepostos ou subordinados.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right="0"/>
        <w:jc w:val="both"/>
        <w:rPr>
          <w:rFonts w:ascii="Arial" w:hAnsi="Arial" w:cs="Arial"/>
          <w:b/>
          <w:bCs/>
          <w:i w:val="false"/>
          <w:i w:val="false"/>
          <w:iCs w:val="false"/>
          <w:color w:val="000000"/>
          <w:sz w:val="22"/>
          <w:szCs w:val="22"/>
        </w:rPr>
      </w:pPr>
      <w:r>
        <w:rPr>
          <w:rFonts w:cs="Arial" w:ascii="Arial" w:hAnsi="Arial"/>
          <w:b/>
          <w:bCs/>
          <w:i w:val="false"/>
          <w:iCs w:val="false"/>
          <w:color w:val="000000"/>
          <w:sz w:val="22"/>
          <w:szCs w:val="22"/>
        </w:rPr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bookmarkStart w:id="7" w:name="page68R_mcid7"/>
      <w:bookmarkEnd w:id="7"/>
      <w:r>
        <w:rPr>
          <w:rFonts w:cs="Arial" w:ascii="Arial" w:hAnsi="Arial"/>
          <w:b/>
          <w:bCs/>
          <w:i w:val="false"/>
          <w:iCs w:val="false"/>
          <w:color w:val="000000"/>
          <w:sz w:val="22"/>
          <w:szCs w:val="22"/>
        </w:rPr>
        <w:t>8. OBRIGAÇÕES DA CONTRATADA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8.2.</w:t>
      </w:r>
      <w:r>
        <w:rPr>
          <w:rFonts w:cs="Arial" w:ascii="Arial" w:hAnsi="Arial"/>
          <w:b/>
          <w:bCs/>
          <w:i w:val="false"/>
          <w:iCs w:val="false"/>
          <w:color w:val="000000"/>
          <w:sz w:val="22"/>
          <w:szCs w:val="22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Efetuar a entrega do objeto em perfeitas condições, conforme especificações, prazo e local constantes no Estudo Técnico,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8.3. Responsabilizar-se pelos vícios e danos decorrentes do objeto, de acordo com os artigos 12, 13 e 17 a 27, do Código de Defesa do Consumidor (Lei nº 8.078, de 1990).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8.4. Substituir, reparar ou corrigir, às suas expensas, no prazo fixado neste Termo de Referência, o objeto com avarias ou defeitos.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lang w:val="pt-BR" w:eastAsia="pt-BR" w:bidi="ar-SA"/>
        </w:rPr>
        <w:t xml:space="preserve">8.5.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Comunicar à Contratante, no prazo máximo de 72 (setenta e duas) horas que antecede a data da entrega, os motivos que impossibilitem o cumprimento do prazo previsto, com a devida comprovação.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lang w:val="pt-BR" w:eastAsia="pt-BR" w:bidi="ar-SA"/>
        </w:rPr>
        <w:t xml:space="preserve">8.6.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Manter, durante toda a execução d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lang w:val="pt-BR" w:eastAsia="pt-BR" w:bidi="ar-SA"/>
        </w:rPr>
        <w:t>a ata de registro de preços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, em compatibilidade com as obrigações assumidas, todas as condições de habilitação e qualificação exigidas na licitação.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lang w:val="pt-BR" w:eastAsia="pt-BR" w:bidi="ar-SA"/>
        </w:rPr>
        <w:t xml:space="preserve">8.7.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Indicar preposto para representá-la durante a execução Da ata de registro de preços.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lang w:val="pt-BR" w:eastAsia="pt-BR" w:bidi="ar-SA"/>
        </w:rPr>
        <w:t xml:space="preserve">8.8.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A CONTRATADA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8.9.Durante a execução da ata de registro de preços, a CONTRATADA deverá:</w:t>
      </w:r>
      <w:bookmarkStart w:id="8" w:name="page68R_mcid17"/>
      <w:bookmarkEnd w:id="8"/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br/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lang w:val="pt-BR" w:eastAsia="pt-BR" w:bidi="ar-SA"/>
        </w:rPr>
        <w:t>8.9.1.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Atender prontamente às solicitações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lang w:val="pt-BR" w:eastAsia="pt-BR" w:bidi="ar-SA"/>
        </w:rPr>
        <w:t>da Secretaria Municipal de Administração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, no fornecimento dos equipamentos (ar-condicionado) nas quantidades e especificações deste TERMO DE REFERÊNCIA.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lang w:val="pt-BR" w:eastAsia="pt-BR" w:bidi="ar-SA"/>
        </w:rPr>
        <w:t>8.9.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2. Entregar os equipamentos acondicionados adequadamente, em invólucro lacrado, de forma a permitir completa segurança durante o transporte, acompanhado de nota fiscal, discriminado o quantitativo do produto, de acordo com as especificações técnicas.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8.9.3.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</w:rPr>
        <w:t>A nota fiscal deverá ser acompanhada pelas Certidões de Regularidades Fiscais</w:t>
      </w:r>
      <w:bookmarkStart w:id="9" w:name="page68R_mcid20"/>
      <w:bookmarkEnd w:id="9"/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</w:rPr>
        <w:t>.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br/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lang w:val="pt-BR" w:eastAsia="pt-BR" w:bidi="ar-SA"/>
        </w:rPr>
        <w:t xml:space="preserve">8.9.4.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Substituir quaisquer equipamento de ar-condicionado que não esteja dentro do padrão de qualidade, em bom estado de conservação, que apresente defeito ou não esteja em conformidade com as especificações da proposta apresentada.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bookmarkStart w:id="10" w:name="page70R_mcid10"/>
      <w:bookmarkEnd w:id="10"/>
      <w:r>
        <w:rPr>
          <w:rFonts w:cs="Arial" w:ascii="Arial" w:hAnsi="Arial"/>
          <w:b/>
          <w:bCs/>
          <w:i w:val="false"/>
          <w:iCs w:val="false"/>
          <w:color w:val="000000"/>
          <w:sz w:val="22"/>
          <w:szCs w:val="22"/>
        </w:rPr>
        <w:t>9. DO CONTROLE E FISCALIZAÇÃO DA EXECUÇÃO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9.1. Nos termos do art. 71 da Lei n.º 14.133/2021, será designado representante para acompanhar e fiscalizar a entrega dos bens, anotando em registro próprio todas as ocorrências relacionadas com a execução e determinando o que for necessário à regularização de falhas ou defeitos observados.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>9.3. O representante da Administração anotará em registro próprio todas as ocorrências relacionadas com a execução da ata de registro de preços, indicando dia, mês e ano, bem como o nome dos funcionários eventualmente envolvidos, determinando o que</w:t>
        <w:br/>
        <w:t xml:space="preserve">for necessário à regularização das falhas ou </w:t>
      </w:r>
      <w:r>
        <w:rPr>
          <w:rFonts w:ascii="Arial" w:hAnsi="Arial"/>
          <w:sz w:val="22"/>
          <w:szCs w:val="22"/>
        </w:rPr>
        <w:t>defeitos observados e encaminhando os apontamentos à autoridade competente para as providências cabíveis.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right="0"/>
        <w:jc w:val="both"/>
        <w:rPr>
          <w:rFonts w:ascii="Arial" w:hAnsi="Arial" w:cs="Arial"/>
          <w:b w:val="false"/>
          <w:bCs w:val="false"/>
          <w:i w:val="false"/>
          <w:i w:val="false"/>
          <w:iCs w:val="false"/>
          <w:color w:val="000000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10. CRITÉRIOS DE PAGAMENTO</w:t>
      </w:r>
    </w:p>
    <w:p>
      <w:pPr>
        <w:pStyle w:val="Normal"/>
        <w:spacing w:lineRule="auto" w:line="36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  <w:lang w:eastAsia="en-US"/>
        </w:rPr>
        <w:t xml:space="preserve">10.1. Recebida a Nota Fiscal ou documento de cobrança equivalente, correrá o prazo de </w:t>
      </w:r>
      <w:r>
        <w:rPr>
          <w:rFonts w:eastAsia="Times New Roman" w:cs="Times New Roman" w:ascii="Arial" w:hAnsi="Arial"/>
          <w:b w:val="false"/>
          <w:bCs w:val="false"/>
          <w:color w:val="auto"/>
          <w:kern w:val="0"/>
          <w:sz w:val="22"/>
          <w:szCs w:val="22"/>
          <w:lang w:val="pt-BR" w:eastAsia="en-US" w:bidi="ar-SA"/>
        </w:rPr>
        <w:t>(30) trinta</w:t>
      </w:r>
      <w:r>
        <w:rPr>
          <w:rFonts w:ascii="Arial" w:hAnsi="Arial"/>
          <w:b w:val="false"/>
          <w:bCs w:val="false"/>
          <w:sz w:val="22"/>
          <w:szCs w:val="22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360"/>
        <w:ind w:hanging="0" w:left="-22" w:right="0"/>
        <w:jc w:val="both"/>
        <w:rPr/>
      </w:pPr>
      <w:r>
        <w:rPr>
          <w:rFonts w:ascii="Arial" w:hAnsi="Arial"/>
          <w:b w:val="false"/>
          <w:bCs w:val="false"/>
          <w:sz w:val="22"/>
          <w:szCs w:val="22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100"/>
          <w:sz w:val="22"/>
          <w:u w:val="none"/>
          <w:b w:val="false"/>
          <w:szCs w:val="22"/>
          <w:bCs w:val="false"/>
          <w:rFonts w:ascii="Arial" w:hAnsi="Arial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100"/>
          <w:sz w:val="22"/>
          <w:u w:val="none"/>
          <w:b w:val="false"/>
          <w:szCs w:val="22"/>
          <w:bCs w:val="false"/>
          <w:rFonts w:ascii="Arial" w:hAnsi="Arial"/>
          <w:color w:val="000000"/>
        </w:rPr>
        <w:fldChar w:fldCharType="separate"/>
      </w:r>
      <w:r>
        <w:rPr>
          <w:rStyle w:val="ListLabel100"/>
          <w:rFonts w:ascii="Arial" w:hAnsi="Arial"/>
          <w:b w:val="false"/>
          <w:bCs w:val="false"/>
          <w:color w:val="000000"/>
          <w:sz w:val="22"/>
          <w:szCs w:val="22"/>
          <w:u w:val="none"/>
        </w:rPr>
        <w:t>inciso II do art. 75 da Lei nº 14.133, de 2021</w:t>
      </w:r>
      <w:r>
        <w:rPr>
          <w:rStyle w:val="ListLabel100"/>
          <w:sz w:val="22"/>
          <w:u w:val="none"/>
          <w:b w:val="false"/>
          <w:szCs w:val="22"/>
          <w:bCs w:val="false"/>
          <w:rFonts w:ascii="Arial" w:hAnsi="Arial"/>
          <w:color w:val="000000"/>
        </w:rPr>
        <w:fldChar w:fldCharType="end"/>
      </w:r>
      <w:r>
        <w:rPr>
          <w:rFonts w:ascii="Arial" w:hAnsi="Arial"/>
          <w:b w:val="false"/>
          <w:bCs w:val="false"/>
          <w:color w:val="000000"/>
          <w:sz w:val="22"/>
          <w:szCs w:val="22"/>
          <w:u w:val="none"/>
        </w:rPr>
        <w:t>.</w:t>
      </w:r>
    </w:p>
    <w:p>
      <w:pPr>
        <w:pStyle w:val="Normal"/>
        <w:spacing w:lineRule="auto" w:line="360"/>
        <w:ind w:hanging="0" w:left="-22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  <w:t>10.3. Para fins de liquidação, o setor competente deverá verificar se a nota fiscal ou instrumento de cobrança equivalente apresentado expressa os elementos ne</w:t>
      </w:r>
      <w:r>
        <w:rPr>
          <w:rFonts w:ascii="Arial" w:hAnsi="Arial"/>
          <w:sz w:val="22"/>
          <w:szCs w:val="22"/>
        </w:rPr>
        <w:t xml:space="preserve">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-22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360"/>
        <w:ind w:hanging="0" w:left="-22" w:right="0"/>
        <w:jc w:val="both"/>
        <w:rPr/>
      </w:pPr>
      <w:r>
        <w:rPr>
          <w:rFonts w:ascii="Arial" w:hAnsi="Arial"/>
          <w:b w:val="false"/>
          <w:bCs w:val="false"/>
          <w:sz w:val="22"/>
          <w:szCs w:val="22"/>
        </w:rPr>
        <w:t>10.5. A</w:t>
      </w:r>
      <w:r>
        <w:rPr>
          <w:rFonts w:ascii="Arial" w:hAnsi="Arial"/>
          <w:b w:val="false"/>
          <w:bCs w:val="false"/>
          <w:sz w:val="22"/>
          <w:szCs w:val="22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Hyperlink"/>
          <w:rFonts w:ascii="Arial" w:hAnsi="Arial"/>
          <w:b w:val="false"/>
          <w:bCs w:val="false"/>
          <w:sz w:val="22"/>
          <w:szCs w:val="22"/>
          <w:lang w:eastAsia="en-US"/>
        </w:rPr>
        <w:t>.</w:t>
      </w:r>
    </w:p>
    <w:p>
      <w:pPr>
        <w:pStyle w:val="Normal"/>
        <w:spacing w:lineRule="auto" w:line="360"/>
        <w:ind w:hanging="0" w:left="-22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  <w:t>10.6. O pagamento será efetuado no prazo de até 30 (trinta) dias úteis contados da finalização da liquidação da despesa.</w:t>
      </w:r>
    </w:p>
    <w:p>
      <w:pPr>
        <w:pStyle w:val="Normal"/>
        <w:spacing w:lineRule="auto" w:line="360"/>
        <w:ind w:hanging="0" w:left="-22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  <w:t>10.7. O pagamento será realizado por meio de ordem bancária, para crédito em banco, agência e conta corrente indicados pelo contratado.</w:t>
      </w:r>
    </w:p>
    <w:p>
      <w:pPr>
        <w:pStyle w:val="Normal"/>
        <w:spacing w:lineRule="auto" w:line="360"/>
        <w:ind w:hanging="0" w:left="-22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  <w:t>10.8. Será considerada data do pagamento o dia em que constar como emitida a ordem bancária para pagamento.</w:t>
      </w:r>
    </w:p>
    <w:p>
      <w:pPr>
        <w:pStyle w:val="Normal"/>
        <w:spacing w:lineRule="auto" w:line="360"/>
        <w:ind w:hanging="0" w:left="-79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  <w:t>10.9. Quando do pagamento, será efetuada a retenção tributária prevista na legislação aplicável.</w:t>
      </w:r>
    </w:p>
    <w:p>
      <w:pPr>
        <w:pStyle w:val="Normal"/>
        <w:spacing w:lineRule="auto" w:line="360"/>
        <w:ind w:hanging="0" w:left="-79" w:right="0"/>
        <w:jc w:val="both"/>
        <w:rPr/>
      </w:pPr>
      <w:r>
        <w:rPr>
          <w:rFonts w:ascii="Arial" w:hAnsi="Arial"/>
          <w:b w:val="false"/>
          <w:bCs w:val="false"/>
          <w:sz w:val="22"/>
          <w:szCs w:val="22"/>
          <w:lang w:eastAsia="en-US"/>
        </w:rPr>
        <w:t xml:space="preserve">10.10. O contratado regularmente optante pelo Simples Nacional, nos termos da </w:t>
      </w:r>
      <w:hyperlink r:id="rId2">
        <w:r>
          <w:rPr>
            <w:rStyle w:val="ListLabel101"/>
            <w:rFonts w:ascii="Arial" w:hAnsi="Arial"/>
            <w:b w:val="false"/>
            <w:bCs w:val="false"/>
            <w:sz w:val="22"/>
            <w:szCs w:val="22"/>
            <w:u w:val="none"/>
            <w:lang w:eastAsia="en-US"/>
          </w:rPr>
          <w:t>Lei Complementar nº 123, de 2006</w:t>
        </w:r>
      </w:hyperlink>
      <w:r>
        <w:rPr>
          <w:rFonts w:ascii="Arial" w:hAnsi="Arial"/>
          <w:b w:val="false"/>
          <w:bCs w:val="false"/>
          <w:sz w:val="22"/>
          <w:szCs w:val="22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Calibri" w:cs="Calibri" w:ascii="Arial" w:hAnsi="Arial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10.11. </w:t>
      </w:r>
      <w:r>
        <w:rPr>
          <w:rFonts w:ascii="Arial" w:hAnsi="Arial"/>
          <w:b w:val="false"/>
          <w:bCs w:val="false"/>
          <w:sz w:val="22"/>
          <w:szCs w:val="22"/>
          <w:shd w:fill="auto" w:val="clear"/>
        </w:rPr>
        <w:t xml:space="preserve"> 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center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  <w:shd w:fill="auto" w:val="clear"/>
        </w:rPr>
        <w:t xml:space="preserve">VM = VF </w:t>
      </w:r>
      <w:r>
        <w:rPr>
          <w:rFonts w:cs="Verdana" w:ascii="Arial" w:hAnsi="Arial"/>
          <w:b w:val="false"/>
          <w:bCs w:val="false"/>
          <w:sz w:val="22"/>
          <w:szCs w:val="22"/>
          <w:shd w:fill="auto" w:val="clear"/>
          <w:vertAlign w:val="subscript"/>
        </w:rPr>
        <w:t>*</w:t>
      </w:r>
      <w:r>
        <w:rPr>
          <w:rFonts w:cs="Verdana" w:ascii="Arial" w:hAnsi="Arial"/>
          <w:b w:val="false"/>
          <w:bCs w:val="false"/>
          <w:sz w:val="22"/>
          <w:szCs w:val="22"/>
          <w:shd w:fill="auto" w:val="clear"/>
        </w:rPr>
        <w:t xml:space="preserve"> </w:t>
      </w:r>
      <w:r>
        <w:rPr>
          <w:rFonts w:cs="Verdana" w:ascii="Arial" w:hAnsi="Arial"/>
          <w:b w:val="false"/>
          <w:bCs w:val="false"/>
          <w:sz w:val="22"/>
          <w:szCs w:val="22"/>
          <w:u w:val="single"/>
          <w:shd w:fill="auto" w:val="clear"/>
        </w:rPr>
        <w:t>0,33</w:t>
      </w:r>
      <w:r>
        <w:rPr>
          <w:rFonts w:cs="Verdana" w:ascii="Arial" w:hAnsi="Arial"/>
          <w:b w:val="false"/>
          <w:bCs w:val="false"/>
          <w:sz w:val="22"/>
          <w:szCs w:val="22"/>
          <w:shd w:fill="auto" w:val="clear"/>
        </w:rPr>
        <w:t xml:space="preserve"> </w:t>
      </w:r>
      <w:r>
        <w:rPr>
          <w:rFonts w:cs="Verdana" w:ascii="Arial" w:hAnsi="Arial"/>
          <w:b w:val="false"/>
          <w:bCs w:val="false"/>
          <w:sz w:val="22"/>
          <w:szCs w:val="22"/>
          <w:shd w:fill="auto" w:val="clear"/>
          <w:vertAlign w:val="subscript"/>
        </w:rPr>
        <w:t>*</w:t>
      </w:r>
      <w:r>
        <w:rPr>
          <w:rFonts w:cs="Verdana" w:ascii="Arial" w:hAnsi="Arial"/>
          <w:b w:val="false"/>
          <w:bCs w:val="false"/>
          <w:sz w:val="22"/>
          <w:szCs w:val="22"/>
          <w:shd w:fill="auto" w:val="clear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center"/>
        <w:rPr>
          <w:rFonts w:ascii="Arial" w:hAnsi="Arial"/>
          <w:sz w:val="22"/>
          <w:szCs w:val="22"/>
        </w:rPr>
      </w:pPr>
      <w:r>
        <w:rPr>
          <w:rFonts w:eastAsia="Verdana" w:cs="Verdana" w:ascii="Arial" w:hAnsi="Arial"/>
          <w:b w:val="false"/>
          <w:bCs w:val="false"/>
          <w:sz w:val="22"/>
          <w:szCs w:val="22"/>
          <w:shd w:fill="auto" w:val="clear"/>
        </w:rPr>
        <w:t xml:space="preserve">        </w:t>
      </w:r>
      <w:r>
        <w:rPr>
          <w:rFonts w:cs="Verdana" w:ascii="Arial" w:hAnsi="Arial"/>
          <w:b w:val="false"/>
          <w:bCs w:val="false"/>
          <w:sz w:val="22"/>
          <w:szCs w:val="22"/>
          <w:shd w:fill="auto" w:val="clear"/>
        </w:rPr>
        <w:t>100</w:t>
      </w:r>
    </w:p>
    <w:p>
      <w:pPr>
        <w:pStyle w:val="Normal"/>
        <w:suppressAutoHyphens w:val="false"/>
        <w:spacing w:lineRule="auto" w:line="360"/>
        <w:rPr>
          <w:rFonts w:ascii="Arial" w:hAnsi="Arial"/>
          <w:sz w:val="22"/>
          <w:szCs w:val="22"/>
        </w:rPr>
      </w:pPr>
      <w:r>
        <w:rPr>
          <w:rFonts w:cs="Arial;Arial" w:ascii="Arial" w:hAnsi="Arial"/>
          <w:b w:val="false"/>
          <w:bCs w:val="false"/>
          <w:color w:val="000000"/>
          <w:sz w:val="22"/>
          <w:szCs w:val="22"/>
          <w:shd w:fill="auto" w:val="clear"/>
        </w:rPr>
        <w:t xml:space="preserve">Onde: </w:t>
      </w:r>
    </w:p>
    <w:p>
      <w:pPr>
        <w:pStyle w:val="Normal"/>
        <w:suppressAutoHyphens w:val="false"/>
        <w:spacing w:lineRule="auto" w:line="360"/>
        <w:rPr>
          <w:rFonts w:ascii="Arial" w:hAnsi="Arial"/>
          <w:sz w:val="22"/>
          <w:szCs w:val="22"/>
        </w:rPr>
      </w:pPr>
      <w:r>
        <w:rPr>
          <w:rFonts w:cs="Arial;Arial" w:ascii="Arial" w:hAnsi="Arial"/>
          <w:b w:val="false"/>
          <w:bCs w:val="false"/>
          <w:color w:val="000000"/>
          <w:sz w:val="22"/>
          <w:szCs w:val="22"/>
          <w:shd w:fill="auto" w:val="clear"/>
        </w:rPr>
        <w:t xml:space="preserve">VM = Valor da Multa Financeira; </w:t>
      </w:r>
    </w:p>
    <w:p>
      <w:pPr>
        <w:pStyle w:val="Normal"/>
        <w:suppressAutoHyphens w:val="false"/>
        <w:spacing w:lineRule="auto" w:line="360"/>
        <w:rPr>
          <w:rFonts w:ascii="Arial" w:hAnsi="Arial"/>
          <w:sz w:val="22"/>
          <w:szCs w:val="22"/>
        </w:rPr>
      </w:pPr>
      <w:r>
        <w:rPr>
          <w:rFonts w:cs="Arial;Arial" w:ascii="Arial" w:hAnsi="Arial"/>
          <w:b w:val="false"/>
          <w:bCs w:val="false"/>
          <w:color w:val="000000"/>
          <w:sz w:val="22"/>
          <w:szCs w:val="22"/>
          <w:shd w:fill="auto" w:val="clear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rPr>
          <w:rFonts w:ascii="Arial" w:hAnsi="Arial"/>
          <w:sz w:val="22"/>
          <w:szCs w:val="22"/>
        </w:rPr>
      </w:pPr>
      <w:r>
        <w:rPr>
          <w:rFonts w:eastAsia="Times New Roman" w:cs="Arial;Arial" w:ascii="Arial" w:hAnsi="Arial"/>
          <w:b w:val="false"/>
          <w:bCs w:val="false"/>
          <w:color w:val="000000"/>
          <w:sz w:val="22"/>
          <w:szCs w:val="22"/>
          <w:shd w:fill="auto" w:val="clear"/>
        </w:rPr>
        <w:t>ND = Número de dias em atraso.</w:t>
      </w:r>
    </w:p>
    <w:p>
      <w:pPr>
        <w:pStyle w:val="Normal"/>
        <w:suppressAutoHyphens w:val="false"/>
        <w:spacing w:lineRule="auto" w:line="36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;Arial" w:ascii="Arial" w:hAnsi="Arial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10.12.. </w:t>
      </w:r>
      <w:r>
        <w:rPr>
          <w:rFonts w:cs="Arial;Arial" w:ascii="Arial" w:hAnsi="Arial"/>
          <w:b w:val="false"/>
          <w:bCs w:val="false"/>
          <w:color w:val="000000"/>
          <w:sz w:val="22"/>
          <w:szCs w:val="22"/>
          <w:shd w:fill="auto" w:val="clear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36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;Arial" w:ascii="Arial" w:hAnsi="Arial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>10.13.</w:t>
      </w:r>
      <w:r>
        <w:rPr>
          <w:rFonts w:cs="Arial;Arial" w:ascii="Arial" w:hAnsi="Arial"/>
          <w:b w:val="false"/>
          <w:bCs w:val="false"/>
          <w:color w:val="000000"/>
          <w:sz w:val="22"/>
          <w:szCs w:val="22"/>
          <w:shd w:fill="auto" w:val="clear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36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;Arial" w:ascii="Arial" w:hAnsi="Arial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10.14. </w:t>
      </w:r>
      <w:r>
        <w:rPr>
          <w:rFonts w:cs="Arial;Arial" w:ascii="Arial" w:hAnsi="Arial"/>
          <w:b w:val="false"/>
          <w:bCs w:val="false"/>
          <w:color w:val="000000"/>
          <w:sz w:val="22"/>
          <w:szCs w:val="22"/>
          <w:shd w:fill="auto" w:val="clear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spacing w:lineRule="auto" w:line="360"/>
        <w:ind w:hanging="0" w:left="-22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;Arial" w:ascii="Arial" w:hAnsi="Arial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zh-CN" w:bidi="ar-SA"/>
        </w:rPr>
        <w:t xml:space="preserve">10.15. </w:t>
      </w:r>
      <w:r>
        <w:rPr>
          <w:rFonts w:cs="Arial;Arial" w:ascii="Arial" w:hAnsi="Arial"/>
          <w:b w:val="false"/>
          <w:bCs w:val="false"/>
          <w:sz w:val="22"/>
          <w:szCs w:val="22"/>
          <w:shd w:fill="auto" w:val="clear"/>
          <w:lang w:eastAsia="en-US"/>
        </w:rPr>
        <w:t xml:space="preserve">Para a efetivação do pagamento, a CONTRATADA deverá manter as mesmas </w:t>
      </w:r>
      <w:r>
        <w:rPr>
          <w:rFonts w:cs="Arial;Arial" w:ascii="Arial" w:hAnsi="Arial"/>
          <w:b w:val="false"/>
          <w:bCs w:val="false"/>
          <w:sz w:val="22"/>
          <w:szCs w:val="22"/>
          <w:shd w:fill="auto" w:val="clear"/>
          <w:lang w:eastAsia="pt-BR"/>
        </w:rPr>
        <w:t>con</w:t>
      </w:r>
      <w:r>
        <w:rPr>
          <w:rFonts w:cs="Arial;Arial" w:ascii="Arial" w:hAnsi="Arial"/>
          <w:sz w:val="22"/>
          <w:szCs w:val="22"/>
          <w:shd w:fill="auto" w:val="clear"/>
          <w:lang w:eastAsia="pt-BR"/>
        </w:rPr>
        <w:t>dições relativas à proposta de preço e a habilitação;</w:t>
      </w:r>
    </w:p>
    <w:p>
      <w:pPr>
        <w:pStyle w:val="Default"/>
        <w:spacing w:lineRule="auto" w:line="240"/>
        <w:ind w:hanging="0" w:left="-22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/>
          <w:bCs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/>
          <w:bCs/>
          <w:iCs/>
          <w:sz w:val="22"/>
          <w:szCs w:val="22"/>
          <w:shd w:fill="auto" w:val="clear"/>
        </w:rPr>
        <w:t>. DAS SANÇÕES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.1.1. Dar causa à inexecução parcial do contrato.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.1.3. Dar causa à inexecução total;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.1.4. Deixar de entregar a documentação exigida para o certame.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.1.5. Não manter a proposta, salvo em decorrência de fato superveniente devidamente justificado.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.1.7. Ensejar o retardamento da execução ou da entrega do objeto sem motivo justificado,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.1.8.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11.1.9. Fraudar a dispensa eletrônica ou praticar ato fraudulento na execução do objeto.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.1.10. Comportar-se de modo inidôneo ou cometer fraude de qualquer natureza.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.1.10.1. C</w:t>
      </w:r>
      <w:r>
        <w:rPr>
          <w:rFonts w:ascii="Arial" w:hAnsi="Arial"/>
          <w:iCs/>
          <w:sz w:val="22"/>
          <w:szCs w:val="22"/>
          <w:shd w:fill="auto" w:val="clear"/>
        </w:rPr>
        <w:t>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.1.11. Praticar atos ilícitos com vistas a frustrar os objetivos deste certame.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.1.12. Praticar ato lesivo previsto no art. 5º da Lei nº 12.846, de 1º de agosto de 2013.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11.1.13.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iCs/>
          <w:sz w:val="22"/>
          <w:szCs w:val="22"/>
          <w:shd w:fill="auto" w:val="clear"/>
        </w:rPr>
        <w:t xml:space="preserve">         </w:t>
      </w:r>
      <w:r>
        <w:rPr>
          <w:rFonts w:ascii="Arial" w:hAnsi="Arial"/>
          <w:iCs/>
          <w:sz w:val="22"/>
          <w:szCs w:val="22"/>
          <w:shd w:fill="auto" w:val="clear"/>
        </w:rPr>
        <w:t>a) Advertência pela falta do subitem 11.1.1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-57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iCs/>
          <w:sz w:val="22"/>
          <w:szCs w:val="22"/>
          <w:shd w:fill="auto" w:val="clear"/>
        </w:rPr>
        <w:t xml:space="preserve">            </w:t>
      </w:r>
      <w:r>
        <w:rPr>
          <w:rFonts w:ascii="Arial" w:hAnsi="Arial"/>
          <w:iCs/>
          <w:sz w:val="22"/>
          <w:szCs w:val="22"/>
          <w:shd w:fill="auto" w:val="clear"/>
        </w:rPr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eastAsia="Times New Roman" w:cs="Times New Roman" w:ascii="Arial" w:hAnsi="Arial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iCs/>
          <w:sz w:val="22"/>
          <w:szCs w:val="22"/>
          <w:shd w:fill="auto" w:val="clear"/>
        </w:rPr>
        <w:t xml:space="preserve">.1.7 e 20% (vinte por cento), se cometidas infrações previstas nos itens 11.1.8 a 11.1.12; 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-57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iCs/>
          <w:sz w:val="22"/>
          <w:szCs w:val="22"/>
          <w:shd w:fill="auto" w:val="clear"/>
        </w:rPr>
        <w:t xml:space="preserve">                    </w:t>
      </w:r>
      <w:r>
        <w:rPr>
          <w:rFonts w:ascii="Arial" w:hAnsi="Arial"/>
          <w:iCs/>
          <w:sz w:val="22"/>
          <w:szCs w:val="22"/>
          <w:shd w:fill="auto" w:val="clear"/>
        </w:rPr>
        <w:t>b.1) O valor da multa poderá ser descontado das faturas devidas à CONTRATADA;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iCs/>
          <w:sz w:val="22"/>
          <w:szCs w:val="22"/>
          <w:shd w:fill="auto" w:val="clear"/>
        </w:rPr>
        <w:t xml:space="preserve">                     </w:t>
      </w:r>
      <w:r>
        <w:rPr>
          <w:rFonts w:ascii="Arial" w:hAnsi="Arial"/>
          <w:iCs/>
          <w:sz w:val="22"/>
          <w:szCs w:val="22"/>
          <w:shd w:fill="auto" w:val="clear"/>
        </w:rPr>
        <w:t xml:space="preserve">b.2) A multa pode ser aplicada isoladamente ou juntamente com as penalidades definidas nos itens “c” e “d” abaixo: 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iCs/>
          <w:sz w:val="22"/>
          <w:szCs w:val="22"/>
          <w:shd w:fill="auto" w:val="clear"/>
        </w:rPr>
        <w:t xml:space="preserve">         </w:t>
      </w:r>
      <w:r>
        <w:rPr>
          <w:rFonts w:ascii="Arial" w:hAnsi="Arial"/>
          <w:iCs/>
          <w:sz w:val="22"/>
          <w:szCs w:val="22"/>
          <w:shd w:fill="auto" w:val="clear"/>
        </w:rPr>
        <w:t>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iCs/>
          <w:sz w:val="22"/>
          <w:szCs w:val="22"/>
          <w:shd w:fill="auto" w:val="clear"/>
        </w:rPr>
        <w:t xml:space="preserve">         </w:t>
      </w:r>
      <w:r>
        <w:rPr>
          <w:rFonts w:ascii="Arial" w:hAnsi="Arial"/>
          <w:iCs/>
          <w:sz w:val="22"/>
          <w:szCs w:val="22"/>
          <w:shd w:fill="auto" w:val="clear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.3. Na aplicação das sanções serão considerados: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.3.1. A natureza e a gravidade da infração cometida.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11.3.2. As peculiaridades do caso concreto.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11.3.3. As circunstâncias agravantes ou atenuantes.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11.3.4. Os danos que dela provierem para a Administração Pública.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>11</w:t>
      </w: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.3.5. A implantação ou o aperfeiçoamento de programa de integridade, conforme normas e orientações dos órgãos de controle.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36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iCs/>
          <w:sz w:val="22"/>
          <w:szCs w:val="22"/>
          <w:shd w:fill="auto" w:val="clear"/>
          <w:lang w:eastAsia="en-US"/>
        </w:rPr>
        <w:t>11.5. A aplicação de qualquer das penalidades previstas realizar-se-á em processo ad</w:t>
      </w:r>
      <w:r>
        <w:rPr>
          <w:rFonts w:ascii="Arial" w:hAnsi="Arial"/>
          <w:iCs/>
          <w:sz w:val="22"/>
          <w:szCs w:val="22"/>
          <w:shd w:fill="auto" w:val="clear"/>
          <w:lang w:eastAsia="en-US"/>
        </w:rPr>
        <w:t>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360"/>
        <w:ind w:hanging="0" w:left="-79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  <w:lang w:eastAsia="en-US"/>
        </w:rPr>
        <w:t>12. DA HABILITAÇÃO</w:t>
      </w:r>
    </w:p>
    <w:p>
      <w:pPr>
        <w:pStyle w:val="Normal"/>
        <w:spacing w:lineRule="auto" w:line="360"/>
        <w:ind w:hanging="0" w:left="-79" w:right="0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  <w:lang w:eastAsia="ar-SA"/>
        </w:rPr>
        <w:t>a) SICAF;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/>
      </w:pPr>
      <w:r>
        <w:rPr>
          <w:rFonts w:cs="Verdana" w:ascii="Arial" w:hAnsi="Arial"/>
          <w:b w:val="false"/>
          <w:bCs w:val="false"/>
          <w:sz w:val="22"/>
          <w:szCs w:val="22"/>
          <w:lang w:eastAsia="ar-SA"/>
        </w:rPr>
        <w:t>b) Cadastro Nacional de Empresas Inidôneas e Suspensas – CEIS, mantido pela Controladoria-Geral da União (</w:t>
      </w:r>
      <w:hyperlink r:id="rId3">
        <w:r>
          <w:rPr>
            <w:rStyle w:val="Hyperlink"/>
            <w:rFonts w:cs="Verdana" w:ascii="Arial" w:hAnsi="Arial"/>
            <w:b w:val="false"/>
            <w:bCs w:val="false"/>
            <w:sz w:val="22"/>
            <w:szCs w:val="22"/>
            <w:lang w:eastAsia="ar-SA"/>
          </w:rPr>
          <w:t>www.portaldatransparencia.gov.br/ceis</w:t>
        </w:r>
      </w:hyperlink>
      <w:r>
        <w:rPr>
          <w:rFonts w:cs="Verdana" w:ascii="Arial" w:hAnsi="Arial"/>
          <w:b w:val="false"/>
          <w:bCs w:val="false"/>
          <w:sz w:val="22"/>
          <w:szCs w:val="22"/>
          <w:lang w:eastAsia="ar-SA"/>
        </w:rPr>
        <w:t>);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/>
      </w:pPr>
      <w:r>
        <w:rPr>
          <w:rFonts w:cs="Verdana" w:ascii="Arial" w:hAnsi="Arial"/>
          <w:b w:val="false"/>
          <w:bCs w:val="false"/>
          <w:sz w:val="22"/>
          <w:szCs w:val="22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Style w:val="Hyperlink"/>
            <w:rFonts w:cs="Verdana" w:ascii="Arial" w:hAnsi="Arial"/>
            <w:b w:val="false"/>
            <w:bCs w:val="false"/>
            <w:sz w:val="22"/>
            <w:szCs w:val="22"/>
            <w:lang w:eastAsia="ar-SA"/>
          </w:rPr>
          <w:t>www.cnj.jus.br/improbidade_adm/consultar_requerido.php</w:t>
        </w:r>
      </w:hyperlink>
      <w:r>
        <w:rPr>
          <w:rFonts w:cs="Verdana" w:ascii="Arial" w:hAnsi="Arial"/>
          <w:b w:val="false"/>
          <w:bCs w:val="false"/>
          <w:sz w:val="22"/>
          <w:szCs w:val="22"/>
          <w:lang w:eastAsia="ar-SA"/>
        </w:rPr>
        <w:t>).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360" w:before="57" w:after="57"/>
        <w:jc w:val="both"/>
        <w:rPr/>
      </w:pPr>
      <w:r>
        <w:rPr>
          <w:rFonts w:cs="Verdana" w:ascii="Arial" w:hAnsi="Arial"/>
          <w:b w:val="false"/>
          <w:bCs w:val="false"/>
          <w:sz w:val="22"/>
          <w:szCs w:val="22"/>
          <w:lang w:eastAsia="ar-SA"/>
        </w:rPr>
        <w:t>e) Cadastro de empresas inid</w:t>
      </w:r>
      <w:r>
        <w:rPr>
          <w:rFonts w:cs="Verdana" w:ascii="Arial" w:hAnsi="Arial"/>
          <w:b w:val="false"/>
          <w:bCs w:val="false"/>
          <w:sz w:val="22"/>
          <w:szCs w:val="22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Style w:val="Hyperlink"/>
            <w:rFonts w:cs="Verdana" w:ascii="Arial" w:hAnsi="Arial"/>
            <w:b w:val="false"/>
            <w:bCs w:val="false"/>
            <w:sz w:val="22"/>
            <w:szCs w:val="22"/>
          </w:rPr>
          <w:t>https://www.tcees.tc.br/portal-da-transparencia/consultas/lista-de</w:t>
        </w:r>
      </w:hyperlink>
      <w:r>
        <w:rPr>
          <w:rFonts w:cs="Verdana" w:ascii="Arial" w:hAnsi="Arial"/>
          <w:b w:val="false"/>
          <w:bCs w:val="false"/>
          <w:sz w:val="22"/>
          <w:szCs w:val="22"/>
        </w:rPr>
        <w:t xml:space="preserve"> responsáveis/proibidos-de-contratar/).</w:t>
      </w:r>
    </w:p>
    <w:p>
      <w:pPr>
        <w:pStyle w:val="Normal"/>
        <w:spacing w:lineRule="auto" w:line="360" w:before="57" w:after="57"/>
        <w:jc w:val="both"/>
        <w:rPr/>
      </w:pPr>
      <w:r>
        <w:rPr>
          <w:rFonts w:cs="Verdana" w:ascii="Arial" w:hAnsi="Arial"/>
          <w:b w:val="false"/>
          <w:bCs w:val="false"/>
          <w:sz w:val="22"/>
          <w:szCs w:val="22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Style w:val="Hyperlink"/>
            <w:rFonts w:cs="Verdana" w:ascii="Arial" w:hAnsi="Arial"/>
            <w:b w:val="false"/>
            <w:bCs w:val="false"/>
            <w:sz w:val="22"/>
            <w:szCs w:val="22"/>
            <w:lang w:eastAsia="ar-SA"/>
          </w:rPr>
          <w:t>https://certidoesapf.apps.tcu.gov.br/</w:t>
        </w:r>
      </w:hyperlink>
      <w:r>
        <w:rPr>
          <w:rFonts w:cs="Verdana" w:ascii="Arial" w:hAnsi="Arial"/>
          <w:b w:val="false"/>
          <w:bCs w:val="false"/>
          <w:sz w:val="22"/>
          <w:szCs w:val="22"/>
          <w:lang w:eastAsia="ar-SA"/>
        </w:rPr>
        <w:t>);</w:t>
      </w:r>
    </w:p>
    <w:p>
      <w:pPr>
        <w:pStyle w:val="Normal"/>
        <w:spacing w:lineRule="auto" w:line="360" w:before="57" w:after="57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12.1.2.3. O licitante será convocado para manifestação previamente à sua desclassificação.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12.1.3 .Constatada a existência de sanção, o Pregoeiro reputará o licitante inabilitado, por falta de condição de participação.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  <w:lang w:eastAsia="ar-SA"/>
        </w:rPr>
        <w:t xml:space="preserve">12.2 </w:t>
      </w: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 xml:space="preserve">Caso atendidas as condições de participação, </w:t>
      </w:r>
      <w:r>
        <w:rPr>
          <w:rFonts w:cs="Verdana" w:ascii="Arial" w:hAnsi="Arial"/>
          <w:b w:val="false"/>
          <w:bCs w:val="false"/>
          <w:sz w:val="22"/>
          <w:szCs w:val="22"/>
        </w:rPr>
        <w:t>a habilitação dos licitantes será verificada por meio do SICAF, nos documentos por ele abrangidos</w:t>
      </w:r>
      <w:r>
        <w:rPr>
          <w:rFonts w:cs="Verdana" w:ascii="Arial" w:hAnsi="Arial"/>
          <w:b w:val="false"/>
          <w:bCs w:val="false"/>
          <w:sz w:val="22"/>
          <w:szCs w:val="22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PADRO"/>
        <w:keepNext w:val="false"/>
        <w:widowControl/>
        <w:tabs>
          <w:tab w:val="clear" w:pos="708"/>
          <w:tab w:val="left" w:pos="567" w:leader="none"/>
        </w:tabs>
        <w:spacing w:lineRule="auto" w:line="360" w:before="57" w:after="57"/>
        <w:ind w:hanging="0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360" w:before="57" w:after="57"/>
        <w:ind w:hanging="0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360" w:before="57" w:after="57"/>
        <w:ind w:hanging="0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</w:rPr>
        <w:t>12.5 Não serão aceitos documentos de habilitação com indicação de CNPJ/CPF diferentes, salvo aqueles legalmente permitidos.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360" w:before="57" w:after="57"/>
        <w:ind w:hanging="0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360" w:before="0" w:after="0"/>
        <w:ind w:hanging="0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12.7 Ressalvado o disposto no item 5.3,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40" w:before="0" w:after="0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/>
          <w:bCs/>
          <w:color w:val="000000"/>
          <w:sz w:val="22"/>
          <w:szCs w:val="22"/>
        </w:rPr>
        <w:t>12.8 Habilitação jurídica: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12.8.1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/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7">
        <w:r>
          <w:rPr>
            <w:rStyle w:val="Hyperlink"/>
            <w:rFonts w:cs="Verdana" w:ascii="Arial" w:hAnsi="Arial"/>
            <w:b w:val="false"/>
            <w:bCs w:val="false"/>
            <w:color w:val="000000"/>
            <w:sz w:val="22"/>
            <w:szCs w:val="22"/>
          </w:rPr>
          <w:t>www.portaldoempreendedor.gov.br</w:t>
        </w:r>
      </w:hyperlink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;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12.8.4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12.8.5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12.8.7 No caso de empresa ou sociedade estrangeira em funcionamento no País: decreto de autorização;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12.8.8 Os documentos acima deverão estar acompanhados de todas as alterações ou da consolidação respectiva;</w:t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 xml:space="preserve">12.9 Regularidade fiscal </w:t>
      </w:r>
      <w:r>
        <w:rPr>
          <w:rFonts w:cs="Verdana" w:ascii="Arial" w:hAnsi="Arial"/>
          <w:b w:val="false"/>
          <w:bCs w:val="false"/>
          <w:sz w:val="22"/>
          <w:szCs w:val="22"/>
        </w:rPr>
        <w:t>e trabalhista</w:t>
      </w:r>
      <w:r>
        <w:rPr>
          <w:rFonts w:cs="Verdana" w:ascii="Arial" w:hAnsi="Arial"/>
          <w:b w:val="false"/>
          <w:bCs w:val="false"/>
          <w:color w:val="0000FF"/>
          <w:sz w:val="22"/>
          <w:szCs w:val="22"/>
        </w:rPr>
        <w:t>:</w:t>
      </w:r>
    </w:p>
    <w:p>
      <w:pPr>
        <w:pStyle w:val="Normal"/>
        <w:snapToGrid w:val="false"/>
        <w:spacing w:lineRule="auto" w:line="360" w:before="57" w:after="57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  <w:lang w:eastAsia="en-US"/>
        </w:rPr>
        <w:t>12.9.1 Prova de inscrição no Cadastro Nacional de Pessoas Jurídicas ou no Cadastro de Pessoas Físicas, conforme o caso;</w:t>
      </w:r>
    </w:p>
    <w:p>
      <w:pPr>
        <w:pStyle w:val="Normal"/>
        <w:snapToGrid w:val="false"/>
        <w:spacing w:lineRule="auto" w:line="360" w:before="57" w:after="57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  <w:lang w:eastAsia="en-US"/>
        </w:rPr>
        <w:t>12.9.2 Certidão de regularidade junto à fazenda pública Municipal, do domicílio do Licitante;</w:t>
      </w:r>
    </w:p>
    <w:p>
      <w:pPr>
        <w:pStyle w:val="Normal"/>
        <w:snapToGrid w:val="false"/>
        <w:spacing w:lineRule="auto" w:line="360" w:before="57" w:after="57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</w:rPr>
        <w:t>12.9.3 Certidão de regularidade junto à fazenda pública Estadual, do domicílio do Licitante;</w:t>
      </w:r>
    </w:p>
    <w:p>
      <w:pPr>
        <w:pStyle w:val="Normal"/>
        <w:snapToGrid w:val="false"/>
        <w:spacing w:lineRule="auto" w:line="360" w:before="57" w:after="57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>
      <w:pPr>
        <w:pStyle w:val="Normal"/>
        <w:snapToGrid w:val="false"/>
        <w:spacing w:lineRule="auto" w:line="360" w:before="57" w:after="57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</w:rPr>
        <w:t>12.9.5 Certidão de regularidade junto ao FGTS;</w:t>
      </w:r>
    </w:p>
    <w:p>
      <w:pPr>
        <w:pStyle w:val="Normal"/>
        <w:snapToGrid w:val="false"/>
        <w:spacing w:lineRule="auto" w:line="360" w:before="57" w:after="57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  <w:lang w:eastAsia="en-US"/>
        </w:rPr>
        <w:t>12.9.6 Certidão Negativa De Débitos Trabalhistas (CNDT) de acordo com a Lei 12440 de 7 de julho de 2011.</w:t>
      </w:r>
    </w:p>
    <w:p>
      <w:pPr>
        <w:pStyle w:val="Normal"/>
        <w:snapToGrid w:val="false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  <w:lang w:eastAsia="en-US" w:bidi="pt-BR"/>
        </w:rPr>
        <w:t xml:space="preserve">12.9.7 Caso o vencedor do menor preço seja qualificado como microempresa ou empresa de pequeno porte </w:t>
      </w:r>
      <w:r>
        <w:rPr>
          <w:rFonts w:cs="Verdana" w:ascii="Arial" w:hAnsi="Arial"/>
          <w:b w:val="false"/>
          <w:bCs w:val="false"/>
          <w:color w:val="000000"/>
          <w:sz w:val="22"/>
          <w:szCs w:val="22"/>
          <w:lang w:eastAsia="en-US"/>
        </w:rPr>
        <w:t>deverá apresentar toda a documentação exigida para efeito de co</w:t>
      </w:r>
      <w:r>
        <w:rPr>
          <w:rFonts w:cs="Verdana" w:ascii="Arial" w:hAnsi="Arial"/>
          <w:color w:val="000000"/>
          <w:sz w:val="22"/>
          <w:szCs w:val="22"/>
          <w:lang w:eastAsia="en-US"/>
        </w:rPr>
        <w:t>mprovação de regularidade fiscal, mesmo que esta apresente alguma restrição, sob pena de inabilitação.</w:t>
      </w:r>
    </w:p>
    <w:p>
      <w:pPr>
        <w:pStyle w:val="Normal"/>
        <w:snapToGrid w:val="false"/>
        <w:spacing w:lineRule="auto" w:line="240" w:before="0" w:after="0"/>
        <w:jc w:val="both"/>
        <w:rPr>
          <w:rFonts w:ascii="Arial" w:hAnsi="Arial" w:cs="Verdana"/>
          <w:color w:val="000000"/>
          <w:sz w:val="22"/>
          <w:szCs w:val="22"/>
          <w:lang w:eastAsia="en-US"/>
        </w:rPr>
      </w:pPr>
      <w:r>
        <w:rPr>
          <w:rFonts w:cs="Verdana" w:ascii="Arial" w:hAnsi="Arial"/>
          <w:color w:val="000000"/>
          <w:sz w:val="22"/>
          <w:szCs w:val="22"/>
          <w:lang w:eastAsia="en-US"/>
        </w:rPr>
      </w:r>
    </w:p>
    <w:p>
      <w:pPr>
        <w:pStyle w:val="ListParagraph"/>
        <w:spacing w:lineRule="auto" w:line="360" w:before="57" w:after="57"/>
        <w:ind w:hanging="0" w:left="0" w:right="0"/>
        <w:contextualSpacing w:val="false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/>
          <w:color w:val="000000"/>
          <w:sz w:val="22"/>
          <w:szCs w:val="22"/>
        </w:rPr>
        <w:t>12.10 Qualificação Econômico-Financeira</w:t>
      </w:r>
      <w:r>
        <w:rPr>
          <w:rFonts w:cs="Verdana" w:ascii="Arial" w:hAnsi="Arial"/>
          <w:color w:val="000000"/>
          <w:sz w:val="22"/>
          <w:szCs w:val="22"/>
        </w:rPr>
        <w:t>.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lineRule="auto" w:line="360" w:before="57" w:after="57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lineRule="auto" w:line="360" w:before="57" w:after="57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color w:val="000000"/>
          <w:sz w:val="22"/>
          <w:szCs w:val="22"/>
        </w:rPr>
        <w:t>12.10.2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widowControl/>
        <w:tabs>
          <w:tab w:val="clear" w:pos="708"/>
          <w:tab w:val="left" w:pos="850" w:leader="none"/>
        </w:tabs>
        <w:suppressAutoHyphens w:val="true"/>
        <w:bidi w:val="0"/>
        <w:snapToGrid w:val="false"/>
        <w:spacing w:lineRule="auto" w:line="360" w:before="57" w:after="57"/>
        <w:ind w:hanging="0" w:left="-57" w:right="0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sz w:val="22"/>
          <w:szCs w:val="22"/>
        </w:rPr>
        <w:t>12.10.3 Para a contagem do prazo estabelecido na letra “a” deste capítulo, será contado a partir do primeiro dia que antecede a data da realização desta dispensa de licitação.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lineRule="auto" w:line="360" w:before="0" w:after="0"/>
        <w:ind w:hanging="0" w:left="-79" w:right="0"/>
        <w:jc w:val="both"/>
        <w:rPr>
          <w:rFonts w:ascii="Arial" w:hAnsi="Arial"/>
          <w:sz w:val="22"/>
          <w:szCs w:val="22"/>
        </w:rPr>
      </w:pPr>
      <w:r>
        <w:rPr>
          <w:rFonts w:cs="Verdana" w:ascii="Arial" w:hAnsi="Arial"/>
          <w:b w:val="false"/>
          <w:bCs w:val="false"/>
          <w:iCs/>
          <w:color w:val="000000"/>
          <w:sz w:val="22"/>
          <w:szCs w:val="22"/>
          <w:shd w:fill="auto" w:val="clear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</w:t>
      </w:r>
      <w:r>
        <w:rPr>
          <w:rFonts w:cs="Verdana" w:ascii="Arial" w:hAnsi="Arial"/>
          <w:iCs/>
          <w:color w:val="000000"/>
          <w:sz w:val="22"/>
          <w:szCs w:val="22"/>
          <w:shd w:fill="auto" w:val="clear"/>
          <w:lang w:eastAsia="en-US"/>
        </w:rPr>
        <w:t>so ou a homologação do segundo, e, em ambos os casos, atestado de capacidade de cumprir o objeto licitado fornecido pelo juízo em que tramita a recuperação.</w:t>
      </w:r>
    </w:p>
    <w:p>
      <w:pPr>
        <w:pStyle w:val="Normal"/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13. CONTRATAÇÕES CORRELATAS E/OU INTERDEPENDENTES</w:t>
      </w:r>
    </w:p>
    <w:p>
      <w:pPr>
        <w:pStyle w:val="Normal"/>
        <w:widowControl/>
        <w:numPr>
          <w:ilvl w:val="0"/>
          <w:numId w:val="0"/>
        </w:numPr>
        <w:suppressAutoHyphens w:val="false"/>
        <w:bidi w:val="0"/>
        <w:spacing w:lineRule="auto" w:line="360" w:before="0" w:after="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13.1. Não se vislumbra a necessidade de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14. RESULTADOS PRETENDIDOS COM A CONTRATAÇÃO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14.1 Os </w:t>
      </w:r>
      <w:r>
        <w:rPr>
          <w:rFonts w:cs="Arial" w:ascii="Arial" w:hAnsi="Arial"/>
          <w:sz w:val="22"/>
          <w:szCs w:val="22"/>
        </w:rPr>
        <w:t>resultados pretendidos com a contratação tem como pilar a melhor prestação de serviço para a sociedade, garantia de ofertas de merenda para as escolas municipais, alimentação em ambulatórios e postos de saúde, bem como melhorar o atendimento a população.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15. PROVIDÊNCIAS A SEREM ADOTADAS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15.1 Recursos materiais e humanos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15.1.1. Além da equipe de gestão do contrato, as secretarias envolvidas disponibilizarão recursos materiais e humanos, para acompanhamento dos contratos e da entrega dos produtos pela contratada.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16.1. Os impactos são os previstos nas legislações pertinentes, devendo a empresa participante ter todas as licenças da ANP (Agência Nacional de Petróleo).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17. DECLARAÇÕES DE VIABILIDADE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17.1. Os Estudos Técnicos Preliminares constitui a primeira etapa do planejamento de contratação, sendo primordial para o conhecimento da solução técnica definitiva aos problemas apresentados, bem como para prover segurança necessária para a contratação dos materiais, em consonância à eficiência, à legalidade e a economicidade do gasto público.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17.2. </w:t>
      </w:r>
      <w:r>
        <w:rPr>
          <w:rFonts w:cs="Arial" w:ascii="Arial" w:hAnsi="Arial"/>
          <w:sz w:val="22"/>
          <w:szCs w:val="22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18. JUSTIFICATIVAS DA VIABILIDADE</w:t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18.1</w:t>
      </w:r>
      <w:r>
        <w:rPr>
          <w:rFonts w:cs="Arial" w:ascii="Arial" w:hAnsi="Arial"/>
          <w:b/>
          <w:bCs/>
          <w:sz w:val="22"/>
          <w:szCs w:val="22"/>
        </w:rPr>
        <w:t>.</w:t>
      </w:r>
      <w:r>
        <w:rPr>
          <w:rFonts w:cs="Arial" w:ascii="Arial" w:hAnsi="Arial"/>
          <w:sz w:val="22"/>
          <w:szCs w:val="22"/>
        </w:rPr>
        <w:t xml:space="preserve"> O responsável pelo planejamento deste ETP e de acordo com a autoridade deste requerente, declara viável esta contratação, que atende adequadamente à demanda formulada e às diretrizes legais, os benefícios pretendidos são adequados, os custos previstos são compatíveis e caracterizam a economicidade, inexistindo riscos.</w:t>
      </w:r>
    </w:p>
    <w:p>
      <w:pPr>
        <w:pStyle w:val="Normal"/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0"/>
        </w:numPr>
        <w:spacing w:lineRule="auto" w:line="360" w:before="0" w:after="0"/>
        <w:ind w:hanging="0" w:left="0" w:right="0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b/>
          <w:bCs/>
          <w:sz w:val="22"/>
          <w:szCs w:val="22"/>
        </w:rPr>
        <w:t xml:space="preserve">19.  ADEQUAÇÃO ORÇAMENTÁRIA </w:t>
      </w:r>
    </w:p>
    <w:p>
      <w:pPr>
        <w:pStyle w:val="ListParagraph"/>
        <w:numPr>
          <w:ilvl w:val="0"/>
          <w:numId w:val="0"/>
        </w:numPr>
        <w:spacing w:lineRule="auto" w:line="360"/>
        <w:ind w:hanging="0" w:lef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  <w:t xml:space="preserve">19.1. As despesas decorrentes da presente </w:t>
      </w:r>
      <w:r>
        <w:rPr>
          <w:rFonts w:eastAsia="Times New Roman" w:cs="Times New Roman" w:ascii="Arial" w:hAnsi="Arial"/>
          <w:b w:val="false"/>
          <w:bCs w:val="false"/>
          <w:color w:val="auto"/>
          <w:kern w:val="0"/>
          <w:sz w:val="22"/>
          <w:szCs w:val="22"/>
          <w:lang w:val="pt-BR" w:eastAsia="pt-BR" w:bidi="ar-SA"/>
        </w:rPr>
        <w:t>aquisição</w:t>
      </w:r>
      <w:r>
        <w:rPr>
          <w:rFonts w:ascii="Arial" w:hAnsi="Arial"/>
          <w:b w:val="false"/>
          <w:bCs w:val="false"/>
          <w:sz w:val="22"/>
          <w:szCs w:val="22"/>
        </w:rPr>
        <w:t xml:space="preserve"> correrão à conta de recursos es</w:t>
      </w:r>
      <w:r>
        <w:rPr>
          <w:rFonts w:ascii="Arial" w:hAnsi="Arial"/>
          <w:sz w:val="22"/>
          <w:szCs w:val="22"/>
        </w:rPr>
        <w:t xml:space="preserve">pecíficos consignados no Lei Orçamentária Anual, bem como requisição do sistema presente nos autos, sendo a </w:t>
      </w:r>
      <w:r>
        <w:rPr>
          <w:rFonts w:eastAsia="Times New Roman" w:cs="Times New Roman" w:ascii="Arial" w:hAnsi="Arial"/>
          <w:color w:val="auto"/>
          <w:kern w:val="0"/>
          <w:sz w:val="22"/>
          <w:szCs w:val="22"/>
          <w:lang w:val="pt-BR" w:eastAsia="pt-BR" w:bidi="ar-SA"/>
        </w:rPr>
        <w:t>aquisição</w:t>
      </w:r>
      <w:r>
        <w:rPr>
          <w:rFonts w:ascii="Arial" w:hAnsi="Arial"/>
          <w:sz w:val="22"/>
          <w:szCs w:val="22"/>
        </w:rPr>
        <w:t xml:space="preserve"> será atendida pelas seguintes dotações:</w:t>
      </w:r>
    </w:p>
    <w:p>
      <w:pPr>
        <w:pStyle w:val="ListParagraph"/>
        <w:numPr>
          <w:ilvl w:val="0"/>
          <w:numId w:val="0"/>
        </w:numPr>
        <w:spacing w:lineRule="auto" w:line="240"/>
        <w:ind w:hanging="0" w:lef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Secretaria Municipal De Administração - </w:t>
      </w:r>
      <w:bookmarkStart w:id="11" w:name="_GoBack111"/>
      <w:bookmarkEnd w:id="11"/>
      <w:r>
        <w:rPr>
          <w:rFonts w:cs="Arial" w:ascii="Arial" w:hAnsi="Arial"/>
          <w:sz w:val="22"/>
          <w:szCs w:val="22"/>
        </w:rPr>
        <w:t>FICHA – FONTE: 00097-1500000000 o valor de R$ 10.200,00 (dez mil e duzentos reais);</w:t>
      </w:r>
    </w:p>
    <w:p>
      <w:pPr>
        <w:pStyle w:val="Normal"/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2"/>
        </w:numPr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 xml:space="preserve">Secretaria Municipal De Educação - </w:t>
      </w:r>
      <w:bookmarkStart w:id="12" w:name="_GoBack111_Copia_1"/>
      <w:bookmarkEnd w:id="12"/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>FICHA – FONTE: 00612-254000300000 o valor de R$ 202.400,00 (duzentos e dois mil e quatrocentos reais);</w:t>
      </w:r>
    </w:p>
    <w:p>
      <w:pPr>
        <w:pStyle w:val="Normal"/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3"/>
        </w:numPr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 xml:space="preserve">Secretaria Municipal De Educação - </w:t>
      </w:r>
      <w:bookmarkStart w:id="13" w:name="_GoBack111_Copia_2"/>
      <w:bookmarkEnd w:id="13"/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>FICHA – FONTE: 00629-15430000000 o valor de R$ 181.200,00 (cento e oitenta e um mil e duzentos reais);</w:t>
      </w:r>
    </w:p>
    <w:p>
      <w:pPr>
        <w:pStyle w:val="Normal"/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4"/>
        </w:numPr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 xml:space="preserve">Secretaria Municipal Do Trabalho, Assistência, Desenvolvimento Social  (CREAS) - </w:t>
      </w:r>
      <w:bookmarkStart w:id="14" w:name="_GoBack111_Copia_3"/>
      <w:bookmarkEnd w:id="14"/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>FICHA – FONTE: 00430-15000000000 o valor de R$ 690,00 (seiscentos e noventa reais);</w:t>
      </w:r>
    </w:p>
    <w:p>
      <w:pPr>
        <w:pStyle w:val="Normal"/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5"/>
        </w:numPr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 xml:space="preserve">Secretaria Municipal Do Trabalho, Assistência, Desenvolvimento Social  (CRAS) - </w:t>
      </w:r>
      <w:bookmarkStart w:id="15" w:name="_GoBack111_Copia_3_Copia_1"/>
      <w:bookmarkEnd w:id="15"/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>FICHA – FONTE: 00419-15000000000 o valor de R$  1.380,00 (um mil trezentos e oitenta reais);</w:t>
      </w:r>
    </w:p>
    <w:p>
      <w:pPr>
        <w:pStyle w:val="Normal"/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6"/>
        </w:numPr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 xml:space="preserve">Secretaria Municipal Do Trabalho, Assistência, Desenvolvimento Social  (Social – Sede) - </w:t>
      </w:r>
      <w:bookmarkStart w:id="16" w:name="_GoBack111_Copia_3_Copia_2"/>
      <w:bookmarkEnd w:id="16"/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>FICHA – FONTE: 00403-15000000000 o valor de R$ 575,00 (quinhentos e setenta e cinco reais);</w:t>
      </w:r>
    </w:p>
    <w:p>
      <w:pPr>
        <w:pStyle w:val="Normal"/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7"/>
        </w:numPr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 xml:space="preserve">Secretaria Municipal Do Trabalho, Assistência, Desenvolvimento Social (Abrigo Luz)  - </w:t>
      </w:r>
      <w:bookmarkStart w:id="17" w:name="_GoBack111_Copia_3_Copia_3"/>
      <w:bookmarkEnd w:id="17"/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>FICHA – FONTE: 00381-15000000000 o valor de R$ 6.325,00 (seis mil trezentos e vinte e cinco reais);</w:t>
      </w:r>
    </w:p>
    <w:p>
      <w:pPr>
        <w:pStyle w:val="Normal"/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8"/>
        </w:numPr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 xml:space="preserve">Secretaria Municipal Do Trabalho, Assistência, Desenvolvimento Social (Cadastro Único)  - </w:t>
      </w:r>
      <w:bookmarkStart w:id="18" w:name="_GoBack111_Copia_3_Copia_4"/>
      <w:bookmarkEnd w:id="18"/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>FICHA – FONTE: 00439-15000000000 o valor de R$ 345,00 (trezentos e quarenta e cinco reais);</w:t>
      </w:r>
    </w:p>
    <w:p>
      <w:pPr>
        <w:pStyle w:val="Normal"/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9"/>
        </w:numPr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 xml:space="preserve">Secretaria Municipal Do Trabalho, Assistência, Desenvolvimento Social (Conselho Tutelar)  - </w:t>
      </w:r>
      <w:bookmarkStart w:id="19" w:name="_GoBack111_Copia_3_Copia_5"/>
      <w:bookmarkEnd w:id="19"/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>FICHA – FONTE: 00394-15000000000 o valor de R$ 345,00 (trezentos e quarenta e cinco reais);</w:t>
      </w:r>
    </w:p>
    <w:p>
      <w:pPr>
        <w:pStyle w:val="Normal"/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</w:t>
      </w:r>
    </w:p>
    <w:p>
      <w:pPr>
        <w:pStyle w:val="Normal"/>
        <w:numPr>
          <w:ilvl w:val="0"/>
          <w:numId w:val="10"/>
        </w:numPr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 xml:space="preserve">Secretaria Municipal De Saúde - </w:t>
      </w:r>
      <w:bookmarkStart w:id="20" w:name="_GoBack111_Copia_4"/>
      <w:bookmarkEnd w:id="20"/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>FICHA – FONTE: 00512-16000000000 o valor de R$ 10.925,00 (dez mil novecentos e vinte e cinco reais).</w:t>
      </w:r>
    </w:p>
    <w:p>
      <w:pPr>
        <w:pStyle w:val="Normal"/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>Totalizando o valor de R$  414.385,00 (quatrocentos e quatorze mil trezentos e oitenta e cinco reais)</w:t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360" w:before="0" w:after="18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2"/>
          <w:szCs w:val="22"/>
          <w:lang w:val="pt-BR" w:eastAsia="pt-BR" w:bidi="ar-SA"/>
        </w:rPr>
        <w:t>20. DOS RESPONS</w:t>
      </w:r>
      <w:r>
        <w:rPr>
          <w:rFonts w:cs="Arial" w:ascii="Arial" w:hAnsi="Arial"/>
          <w:b/>
          <w:bCs/>
          <w:color w:val="000000"/>
          <w:sz w:val="22"/>
          <w:szCs w:val="22"/>
        </w:rPr>
        <w:t>ÁVEIS PELA ELABORAÇÃO DO TERMO DE REFERÊNCIA</w:t>
      </w:r>
    </w:p>
    <w:p>
      <w:pPr>
        <w:pStyle w:val="Normal"/>
        <w:spacing w:lineRule="auto" w:line="360" w:before="0" w:after="360"/>
        <w:ind w:hanging="0" w:right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</w:rPr>
        <w:t>20.1. A compilação de parte das informações mencionados na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360" w:before="0" w:after="360"/>
        <w:ind w:hanging="0" w:left="36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                           </w:t>
      </w:r>
      <w:r>
        <w:rPr>
          <w:rFonts w:ascii="Arial" w:hAnsi="Arial"/>
          <w:sz w:val="22"/>
          <w:szCs w:val="22"/>
        </w:rPr>
        <w:t xml:space="preserve">São Gabriel da Palha, 25 de novembro de 2024 </w:t>
      </w:r>
    </w:p>
    <w:p>
      <w:pPr>
        <w:pStyle w:val="Normal"/>
        <w:spacing w:lineRule="auto" w:line="3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Elaborado por: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  <w:t>RODOLFO ANTÔNIO DA SILVA NETO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  <w:t>Auxiliar Administrativo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</w:rPr>
        <w:t>Mat. nº 000406</w:t>
      </w:r>
    </w:p>
    <w:p>
      <w:pPr>
        <w:pStyle w:val="Normal"/>
        <w:spacing w:lineRule="auto" w:line="276"/>
        <w:jc w:val="both"/>
        <w:rPr>
          <w:rFonts w:ascii="Arial" w:hAnsi="Arial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Normal"/>
        <w:spacing w:lineRule="auto" w:line="24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RUTH BARBARA DA SILWA NASCIMENTO</w:t>
      </w:r>
    </w:p>
    <w:p>
      <w:pPr>
        <w:pStyle w:val="Normal"/>
        <w:spacing w:lineRule="auto" w:line="24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Assistente Administrativo</w:t>
      </w:r>
    </w:p>
    <w:p>
      <w:pPr>
        <w:pStyle w:val="Normal"/>
        <w:spacing w:lineRule="auto" w:line="240"/>
        <w:rPr/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</w:rPr>
        <w:t xml:space="preserve"> </w:t>
      </w:r>
      <w:hyperlink r:id="rId8">
        <w:r>
          <w:rPr>
            <w:rStyle w:val="ListLabel105"/>
            <w:rFonts w:cs="Arial" w:ascii="Arial" w:hAnsi="Arial"/>
            <w:b w:val="false"/>
            <w:bCs w:val="false"/>
            <w:color w:val="000000"/>
            <w:sz w:val="22"/>
            <w:szCs w:val="22"/>
          </w:rPr>
          <w:t>Mat. nº 002983</w:t>
        </w:r>
      </w:hyperlink>
      <w:bookmarkStart w:id="21" w:name="_GoBack3112"/>
      <w:bookmarkStart w:id="22" w:name="_GoBack3"/>
      <w:bookmarkStart w:id="23" w:name="_GoBack31121"/>
      <w:bookmarkStart w:id="24" w:name="_GoBack3111"/>
      <w:bookmarkStart w:id="25" w:name="_GoBack311"/>
      <w:bookmarkStart w:id="26" w:name="_GoBack112"/>
      <w:bookmarkStart w:id="27" w:name="_GoBack1112"/>
      <w:bookmarkStart w:id="28" w:name="_GoBack31"/>
      <w:bookmarkStart w:id="29" w:name="_GoBack11"/>
      <w:bookmarkStart w:id="30" w:name="_GoBack1111"/>
    </w:p>
    <w:p>
      <w:pPr>
        <w:sectPr>
          <w:headerReference w:type="default" r:id="rId9"/>
          <w:footerReference w:type="default" r:id="rId10"/>
          <w:type w:val="nextPage"/>
          <w:pgSz w:w="11906" w:h="16838"/>
          <w:pgMar w:left="1701" w:right="1134" w:gutter="0" w:header="227" w:top="851" w:footer="567" w:bottom="851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spacing w:lineRule="auto" w:line="360"/>
        <w:jc w:val="both"/>
        <w:rPr>
          <w:rFonts w:ascii="Arial" w:hAnsi="Arial" w:eastAsia="Times New Roman" w:cs="Arial"/>
          <w:color w:val="auto"/>
          <w:kern w:val="0"/>
          <w:sz w:val="22"/>
          <w:szCs w:val="22"/>
          <w:lang w:val="pt-BR" w:eastAsia="pt-BR" w:bidi="ar-SA"/>
        </w:rPr>
      </w:pPr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</w:r>
    </w:p>
    <w:p>
      <w:pPr>
        <w:sectPr>
          <w:type w:val="continuous"/>
          <w:pgSz w:w="11906" w:h="16838"/>
          <w:pgMar w:left="1701" w:right="1134" w:gutter="0" w:header="227" w:top="851" w:footer="567" w:bottom="851"/>
          <w:formProt w:val="false"/>
          <w:textDirection w:val="lrTb"/>
          <w:docGrid w:type="default" w:linePitch="600" w:charSpace="32768"/>
        </w:sectPr>
      </w:pPr>
    </w:p>
    <w:p>
      <w:pPr>
        <w:pStyle w:val="Normal"/>
        <w:spacing w:lineRule="auto" w:line="276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</w:r>
      <w:bookmarkStart w:id="31" w:name="_GoBack31122"/>
      <w:bookmarkStart w:id="32" w:name="_GoBack31122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2"/>
    </w:p>
    <w:sectPr>
      <w:type w:val="continuous"/>
      <w:pgSz w:w="11906" w:h="16838"/>
      <w:pgMar w:left="1701" w:right="1134" w:gutter="0" w:header="227" w:top="851" w:footer="567" w:bottom="851"/>
      <w:formProt w:val="tru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Ecofont_Spranq_eco_Sans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Univers 45 Light">
    <w:charset w:val="00"/>
    <w:family w:val="roman"/>
    <w:pitch w:val="variable"/>
  </w:font>
  <w:font w:name="IPMDOI+TimesNewRoman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jc w:val="center"/>
      <w:rPr>
        <w:rFonts w:ascii="Arial Narrow" w:hAnsi="Arial Narrow"/>
        <w:b/>
        <w:sz w:val="20"/>
      </w:rPr>
    </w:pPr>
    <w:r>
      <w:drawing>
        <wp:anchor behindDoc="1" distT="0" distB="0" distL="152400" distR="120015" simplePos="0" locked="0" layoutInCell="0" allowOverlap="1" relativeHeight="16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>
    <w:pPr>
      <w:pStyle w:val="Header"/>
      <w:rPr>
        <w:rFonts w:ascii="Arial Narrow" w:hAnsi="Arial Narrow"/>
      </w:rPr>
    </w:pPr>
    <w:r>
      <w:rPr>
        <w:rFonts w:ascii="Arial Narrow" w:hAnsi="Arial Narrow"/>
      </w:rPr>
    </w:r>
  </w:p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documentProtection w:edit="forms" w:enforcement="1" w:cryptProviderType="rsaAES" w:cryptAlgorithmClass="hash" w:cryptAlgorithmType="typeAny" w:cryptAlgorithmSid="" w:cryptSpinCount="0" w:hash="" w:salt="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0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e18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537254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e18ec"/>
    <w:rPr/>
  </w:style>
  <w:style w:type="character" w:styleId="CabealhoChar" w:customStyle="1">
    <w:name w:val="Cabeçalho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 w:customStyle="1">
    <w:name w:val="A6"/>
    <w:qFormat/>
    <w:rPr>
      <w:color w:val="000000"/>
      <w:sz w:val="18"/>
      <w:u w:val="single"/>
    </w:rPr>
  </w:style>
  <w:style w:type="character" w:styleId="Hyperlink" w:customStyle="1">
    <w:name w:val="Hyperlink"/>
    <w:rPr>
      <w:color w:val="000080"/>
      <w:u w:val="single"/>
    </w:rPr>
  </w:style>
  <w:style w:type="character" w:styleId="CorpodetextoChar" w:customStyle="1">
    <w:name w:val="Corpo de texto Char"/>
    <w:basedOn w:val="DefaultParagraphFont"/>
    <w:qFormat/>
    <w:rsid w:val="004568f3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 w:customStyle="1">
    <w:name w:val="Citação Char"/>
    <w:basedOn w:val="DefaultParagraphFont"/>
    <w:qFormat/>
    <w:rsid w:val="00537254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537254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locked/>
    <w:rsid w:val="00537254"/>
    <w:rPr>
      <w:rFonts w:ascii="Arial" w:hAnsi="Arial" w:cs="Arial"/>
      <w:color w:val="000000"/>
    </w:rPr>
  </w:style>
  <w:style w:type="character" w:styleId="Strong">
    <w:name w:val="Strong"/>
    <w:basedOn w:val="DefaultParagraphFont"/>
    <w:uiPriority w:val="22"/>
    <w:qFormat/>
    <w:rsid w:val="00537254"/>
    <w:rPr>
      <w:b/>
      <w:bCs/>
    </w:rPr>
  </w:style>
  <w:style w:type="character" w:styleId="Ttulo1Char" w:customStyle="1">
    <w:name w:val="Título 1 Char"/>
    <w:basedOn w:val="DefaultParagraphFont"/>
    <w:uiPriority w:val="9"/>
    <w:qFormat/>
    <w:rsid w:val="00537254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pt-BR"/>
    </w:rPr>
  </w:style>
  <w:style w:type="character" w:styleId="Scayt-misspell-word">
    <w:name w:val="scayt-misspell-word"/>
    <w:qFormat/>
    <w:rPr/>
  </w:style>
  <w:style w:type="character" w:styleId="Apple-converted-space">
    <w:name w:val="apple-converted-space"/>
    <w:qFormat/>
    <w:rPr/>
  </w:style>
  <w:style w:type="character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Nivel01Char">
    <w:name w:val="Nivel_01 Char"/>
    <w:qFormat/>
    <w:rPr>
      <w:rFonts w:ascii="Ecofont_Spranq_eco_Sans" w:hAnsi="Ecofont_Spranq_eco_Sans" w:eastAsia="ＭＳ ゴシック" w:cs="Times New Roman"/>
      <w:b/>
      <w:bCs/>
      <w:color w:val="365F91"/>
      <w:sz w:val="32"/>
      <w:szCs w:val="32"/>
    </w:rPr>
  </w:style>
  <w:style w:type="character" w:styleId="Nivel01Char1">
    <w:name w:val="Nivel 01 Char"/>
    <w:qFormat/>
    <w:rPr>
      <w:rFonts w:ascii="Ecofont_Spranq_eco_Sans" w:hAnsi="Ecofont_Spranq_eco_Sans" w:eastAsia="ＭＳ ゴシック"/>
      <w:b/>
      <w:bCs/>
      <w:color w:val="000000"/>
    </w:rPr>
  </w:style>
  <w:style w:type="character" w:styleId="AssuntodocomentrioChar">
    <w:name w:val="Assunto do comentário Char"/>
    <w:qFormat/>
    <w:rPr>
      <w:rFonts w:ascii="Arial" w:hAnsi="Arial" w:cs="Tahoma"/>
      <w:b/>
      <w:bCs/>
    </w:rPr>
  </w:style>
  <w:style w:type="character" w:styleId="TextodecomentrioChar">
    <w:name w:val="Texto de comentário Char"/>
    <w:qFormat/>
    <w:rPr>
      <w:rFonts w:ascii="Arial" w:hAnsi="Arial" w:cs="Tahoma"/>
    </w:rPr>
  </w:style>
  <w:style w:type="character" w:styleId="Annotationreference">
    <w:name w:val="annotation reference"/>
    <w:qFormat/>
    <w:rPr>
      <w:sz w:val="18"/>
      <w:szCs w:val="18"/>
    </w:rPr>
  </w:style>
  <w:style w:type="character" w:styleId="GradeColorida-nfase1Char">
    <w:name w:val="Grade Colorida - Ênfase 1 Char"/>
    <w:qFormat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itao2Char">
    <w:name w:val="citação 2 Char"/>
    <w:qFormat/>
    <w:rPr>
      <w:rFonts w:ascii="Ecofont_Spranq_eco_Sans" w:hAnsi="Ecofont_Spranq_eco_Sans" w:eastAsia="Calibri" w:cs="Tahoma"/>
      <w:i/>
      <w:iCs/>
      <w:color w:val="000000"/>
      <w:shd w:fill="FFFFCC" w:val="clear"/>
      <w:lang w:eastAsia="en-US"/>
    </w:rPr>
  </w:style>
  <w:style w:type="character" w:styleId="Apple-style-span">
    <w:name w:val="apple-style-span"/>
    <w:qFormat/>
    <w:rPr/>
  </w:style>
  <w:style w:type="character" w:styleId="Normalchar1">
    <w:name w:val="normal__char1"/>
    <w:qFormat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Ttulo2Char">
    <w:name w:val="Título 2 Char"/>
    <w:qFormat/>
    <w:rPr>
      <w:b/>
      <w:color w:val="000000"/>
      <w:sz w:val="24"/>
    </w:rPr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FootnoteCharacters">
    <w:name w:val="Footnote Characters"/>
    <w:qFormat/>
    <w:rPr>
      <w:rFonts w:ascii="Times New Roman" w:hAnsi="Times New Roman" w:eastAsia="Times New Roman" w:cs="Times New Roman"/>
      <w:color w:val="000000"/>
      <w:sz w:val="24"/>
      <w:szCs w:val="24"/>
      <w:vertAlign w:val="superscript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3Char">
    <w:name w:val="Título 3 Char"/>
    <w:qFormat/>
    <w:rPr>
      <w:b/>
      <w:color w:val="00000A"/>
    </w:rPr>
  </w:style>
  <w:style w:type="character" w:styleId="Corpodetexto2Char">
    <w:name w:val="Corpo de texto 2 Cha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Fontepargpadro1">
    <w:name w:val="Fonte parág. padrão1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WW8Num5z0">
    <w:name w:val="WW8Num5z0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>
      <w:b/>
    </w:rPr>
  </w:style>
  <w:style w:type="character" w:styleId="Fontepargpadro2">
    <w:name w:val="Fonte parág. padrão2"/>
    <w:qFormat/>
    <w:rPr/>
  </w:style>
  <w:style w:type="character" w:styleId="Fontepargpadro3">
    <w:name w:val="Fonte parág. padrão3"/>
    <w:qFormat/>
    <w:rPr/>
  </w:style>
  <w:style w:type="character" w:styleId="WW8Num3z0">
    <w:name w:val="WW8Num3z0"/>
    <w:qFormat/>
    <w:rPr>
      <w:vanish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2">
    <w:name w:val="WW8Num1z2"/>
    <w:qFormat/>
    <w:rPr/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FollowedHyperlink">
    <w:name w:val="FollowedHyperlink"/>
    <w:rPr>
      <w:color w:val="800080"/>
      <w:u w:val="single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uiPriority w:val="34"/>
    <w:qFormat/>
    <w:rsid w:val="007a2726"/>
    <w:pPr>
      <w:spacing w:before="0" w:after="0"/>
      <w:ind w:hanging="0" w:left="720"/>
      <w:contextualSpacing/>
    </w:pPr>
    <w:rPr/>
  </w:style>
  <w:style w:type="paragraph" w:styleId="Tabelanormal1" w:customStyle="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 w:customStyle="1">
    <w:name w:val="Nivel1"/>
    <w:basedOn w:val="Heading1"/>
    <w:next w:val="Normal"/>
    <w:link w:val="Nivel1Char"/>
    <w:qFormat/>
    <w:rsid w:val="00537254"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 w:customStyle="1">
    <w:name w:val="Standard"/>
    <w:qFormat/>
    <w:rsid w:val="0053725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 w:customStyle="1">
    <w:name w:val="citação 2"/>
    <w:basedOn w:val="Quote"/>
    <w:qFormat/>
    <w:rsid w:val="00537254"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537254"/>
    <w:pPr>
      <w:suppressAutoHyphens w:val="false"/>
      <w:spacing w:lineRule="auto" w:line="276" w:before="120" w:after="120"/>
      <w:jc w:val="both"/>
    </w:pPr>
    <w:rPr>
      <w:rFonts w:ascii="Arial" w:hAnsi="Arial" w:eastAsia="Calibri" w:cs="Arial" w:eastAsiaTheme="minorHAnsi"/>
      <w:color w:val="000000"/>
      <w:sz w:val="22"/>
      <w:szCs w:val="22"/>
      <w:lang w:eastAsia="en-US"/>
    </w:rPr>
  </w:style>
  <w:style w:type="paragraph" w:styleId="Nivel3" w:customStyle="1">
    <w:name w:val="Nivel 3"/>
    <w:basedOn w:val="ListParagraph"/>
    <w:qFormat/>
    <w:rsid w:val="00537254"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hd w:fill="FFFFCC" w:val="clear"/>
      <w:lang w:eastAsia="en-US"/>
    </w:rPr>
  </w:style>
  <w:style w:type="paragraph" w:styleId="Nivel5">
    <w:name w:val="Nivel 5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0" w:left="3485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Nivel4">
    <w:name w:val="Nivel 4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0" w:left="2491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Nivel11">
    <w:name w:val="Nivel 1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432" w:left="644"/>
      <w:jc w:val="both"/>
    </w:pPr>
    <w:rPr>
      <w:rFonts w:ascii="Ecofont_Spranq_eco_Sans" w:hAnsi="Ecofont_Spranq_eco_Sans" w:eastAsia="Arial Unicode MS" w:cs="Arial"/>
      <w:b/>
      <w:color w:val="auto"/>
      <w:kern w:val="0"/>
      <w:sz w:val="22"/>
      <w:szCs w:val="22"/>
      <w:lang w:val="pt-BR" w:eastAsia="en-US" w:bidi="ar-SA"/>
    </w:rPr>
  </w:style>
  <w:style w:type="paragraph" w:styleId="PargrafodaLista1">
    <w:name w:val="Parágrafo da Lista1"/>
    <w:basedOn w:val="Normal"/>
    <w:qFormat/>
    <w:pPr>
      <w:ind w:hanging="0" w:left="720"/>
    </w:pPr>
    <w:rPr>
      <w:rFonts w:ascii="Ecofont_Spranq_eco_Sans" w:hAnsi="Ecofont_Spranq_eco_Sans" w:cs="Ecofont_Spranq_eco_Sans"/>
    </w:rPr>
  </w:style>
  <w:style w:type="paragraph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Nivel01">
    <w:name w:val="Nivel_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sz w:val="20"/>
      <w:szCs w:val="20"/>
    </w:rPr>
  </w:style>
  <w:style w:type="paragraph" w:styleId="Nivel01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b/>
      <w:bCs/>
      <w:color w:val="auto"/>
      <w:kern w:val="0"/>
      <w:sz w:val="20"/>
      <w:szCs w:val="20"/>
      <w:lang w:val="pt-BR" w:eastAsia="en-US" w:bidi="ar-SA"/>
    </w:rPr>
  </w:style>
  <w:style w:type="paragraph" w:styleId="Annotationtext">
    <w:name w:val="annotation text"/>
    <w:basedOn w:val="Normal"/>
    <w:qFormat/>
    <w:pPr/>
    <w:rPr/>
  </w:style>
  <w:style w:type="paragraph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ListBullet5">
    <w:name w:val="List Bullet 5"/>
    <w:basedOn w:val="Normal"/>
    <w:qFormat/>
    <w:pPr>
      <w:spacing w:before="0" w:after="0"/>
      <w:contextualSpacing/>
    </w:pPr>
    <w:rPr/>
  </w:style>
  <w:style w:type="paragraph" w:styleId="Nvel2">
    <w:name w:val="Nível 2"/>
    <w:basedOn w:val="Normal"/>
    <w:qFormat/>
    <w:pPr>
      <w:spacing w:before="0" w:after="120"/>
      <w:jc w:val="both"/>
    </w:pPr>
    <w:rPr>
      <w:rFonts w:cs="Times New Roman"/>
      <w:b/>
      <w:szCs w:val="20"/>
    </w:rPr>
  </w:style>
  <w:style w:type="paragraph" w:styleId="BalloonText">
    <w:name w:val="Balloon Text"/>
    <w:basedOn w:val="Normal"/>
    <w:qFormat/>
    <w:pPr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Times New Roman" w:hAnsi="Times New Roman" w:cs="Times New Roman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Pa28">
    <w:name w:val="Pa28"/>
    <w:qFormat/>
    <w:pPr>
      <w:widowControl/>
      <w:suppressAutoHyphens w:val="false"/>
      <w:bidi w:val="0"/>
      <w:spacing w:lineRule="atLeast" w:line="181" w:before="0" w:after="0"/>
      <w:jc w:val="left"/>
    </w:pPr>
    <w:rPr>
      <w:rFonts w:ascii="Univers 45 Light" w:hAnsi="Univers 45 Light" w:eastAsia="SimSun" w:cs="" w:cstheme="minorBidi"/>
      <w:color w:val="auto"/>
      <w:kern w:val="0"/>
      <w:sz w:val="22"/>
      <w:szCs w:val="22"/>
      <w:lang w:val="pt-BR" w:eastAsia="pt-BR" w:bidi="ar-SA"/>
    </w:rPr>
  </w:style>
  <w:style w:type="paragraph" w:styleId="Pa4">
    <w:name w:val="Pa4"/>
    <w:qFormat/>
    <w:pPr>
      <w:widowControl/>
      <w:suppressAutoHyphens w:val="false"/>
      <w:bidi w:val="0"/>
      <w:spacing w:lineRule="atLeast" w:line="181" w:before="0" w:after="0"/>
      <w:jc w:val="left"/>
    </w:pPr>
    <w:rPr>
      <w:rFonts w:ascii="Univers 45 Light" w:hAnsi="Univers 45 Light" w:eastAsia="SimSun" w:cs="" w:cstheme="minorBidi"/>
      <w:color w:val="auto"/>
      <w:kern w:val="0"/>
      <w:sz w:val="22"/>
      <w:szCs w:val="22"/>
      <w:lang w:val="pt-BR" w:eastAsia="pt-BR" w:bidi="ar-SA"/>
    </w:rPr>
  </w:style>
  <w:style w:type="paragraph" w:styleId="Indentado0">
    <w:name w:val="Indentado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suppressAutoHyphens w:val="true"/>
      <w:bidi w:val="0"/>
      <w:spacing w:before="0" w:after="0"/>
      <w:ind w:firstLine="851" w:left="567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Liberation Serif" w:hAnsi="Liberation Serif" w:eastAsia="0" w:cs="Lucida Sans"/>
      <w:color w:val="auto"/>
      <w:kern w:val="2"/>
      <w:sz w:val="24"/>
      <w:szCs w:val="22"/>
      <w:lang w:val="pt-BR" w:eastAsia="en-US" w:bidi="hi-IN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/>
    </w:pPr>
    <w:rPr>
      <w:sz w:val="16"/>
      <w:szCs w:val="16"/>
    </w:rPr>
  </w:style>
  <w:style w:type="paragraph" w:styleId="Contedodetabela">
    <w:name w:val="Conteúdo de tabela"/>
    <w:basedOn w:val="Normal"/>
    <w:qFormat/>
    <w:pPr/>
    <w:rPr/>
  </w:style>
  <w:style w:type="paragraph" w:styleId="WW-Padro">
    <w:name w:val="WW-Padrão"/>
    <w:qFormat/>
    <w:pPr>
      <w:widowControl/>
      <w:suppressAutoHyphens w:val="true"/>
      <w:bidi w:val="0"/>
      <w:spacing w:before="0" w:after="0"/>
      <w:jc w:val="left"/>
    </w:pPr>
    <w:rPr>
      <w:rFonts w:ascii="IPMDOI+TimesNewRoman" w:hAnsi="IPMDOI+TimesNewRoman" w:eastAsia="Calibri" w:cs="IPMDOI+TimesNewRoman" w:eastAsiaTheme="minorHAnsi"/>
      <w:color w:val="auto"/>
      <w:kern w:val="0"/>
      <w:sz w:val="22"/>
      <w:szCs w:val="22"/>
      <w:lang w:val="pt-BR" w:eastAsia="en-US" w:bidi="ar-SA"/>
    </w:rPr>
  </w:style>
  <w:style w:type="paragraph" w:styleId="Xl61">
    <w:name w:val="xl61"/>
    <w:qFormat/>
    <w:pPr>
      <w:widowControl/>
      <w:suppressAutoHyphens w:val="true"/>
      <w:bidi w:val="0"/>
      <w:spacing w:before="280" w:after="280"/>
      <w:jc w:val="left"/>
    </w:pPr>
    <w:rPr>
      <w:rFonts w:ascii="IPMDOI+TimesNewRoman" w:hAnsi="IPMDOI+TimesNewRoman" w:eastAsia="Calibri" w:cs="IPMDOI+TimesNewRoman" w:eastAsiaTheme="minorHAnsi"/>
      <w:color w:val="auto"/>
      <w:kern w:val="0"/>
      <w:sz w:val="22"/>
      <w:szCs w:val="22"/>
      <w:lang w:val="pt-BR" w:eastAsia="en-US" w:bidi="ar-SA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0" w:cs="Lucida Sans"/>
      <w:color w:val="000000"/>
      <w:kern w:val="2"/>
      <w:sz w:val="24"/>
      <w:szCs w:val="24"/>
      <w:lang w:val="pt-BR" w:eastAsia="zh-CN" w:bidi="hi-IN"/>
    </w:rPr>
  </w:style>
  <w:style w:type="paragraph" w:styleId="Legenda1">
    <w:name w:val="Legenda1"/>
    <w:basedOn w:val="Normal"/>
    <w:qFormat/>
    <w:pPr>
      <w:spacing w:before="120" w:after="120"/>
    </w:pPr>
    <w:rPr>
      <w:i/>
      <w:iCs/>
    </w:rPr>
  </w:style>
  <w:style w:type="paragraph" w:styleId="Ttulo1">
    <w:name w:val="Título1"/>
    <w:basedOn w:val="Normal"/>
    <w:qFormat/>
    <w:pPr>
      <w:keepNext w:val="true"/>
      <w:spacing w:before="240" w:after="120"/>
    </w:pPr>
    <w:rPr>
      <w:rFonts w:ascii="Arial" w:hAnsi="Arial" w:eastAsia="Arial Unicode MS"/>
      <w:sz w:val="28"/>
      <w:szCs w:val="28"/>
    </w:rPr>
  </w:style>
  <w:style w:type="paragraph" w:styleId="Ttulo2">
    <w:name w:val="Título2"/>
    <w:basedOn w:val="Normal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tulo3">
    <w:name w:val="Título3"/>
    <w:basedOn w:val="Normal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/>
      <w:color w:val="00000A"/>
      <w:sz w:val="28"/>
      <w:szCs w:val="28"/>
    </w:rPr>
  </w:style>
  <w:style w:type="paragraph" w:styleId="PADRO">
    <w:name w:val="PADRÃO"/>
    <w:qFormat/>
    <w:pPr>
      <w:keepNext w:val="true"/>
      <w:widowControl w:val="false"/>
      <w:shd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53725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yperlink" Target="https://www.planalto.gov.br/ccivil_03/leis/lcp/lcp123.htm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Application>LibreOffice/7.6.7.2$Windows_X86_64 LibreOffice_project/dd47e4b30cb7dab30588d6c79c651f218165e3c5</Application>
  <AppVersion>15.0000</AppVersion>
  <Pages>15</Pages>
  <Words>4711</Words>
  <Characters>27180</Characters>
  <CharactersWithSpaces>31813</CharactersWithSpaces>
  <Paragraphs>267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2024-11-28T14:24:11Z</cp:lastPrinted>
  <dcterms:modified xsi:type="dcterms:W3CDTF">2024-12-02T15:14:57Z</dcterms:modified>
  <cp:revision>199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